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84"/>
          <w:szCs w:val="84"/>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苏州市政府采购</w:t>
      </w:r>
      <w:r/>
    </w:p>
    <w:p>
      <w:pPr>
        <w:jc w:val="center"/>
        <w:spacing w:line="360" w:lineRule="auto"/>
        <w:rPr>
          <w:rFonts w:hint="eastAsia" w:ascii="宋体" w:hAnsi="宋体" w:eastAsia="宋体" w:cs="宋体"/>
          <w:color w:val="000000" w:themeColor="text1"/>
          <w:sz w:val="84"/>
          <w:szCs w:val="84"/>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招标文件</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1866900" cy="1885950"/>
                <wp:effectExtent l="0" t="0" r="0" b="0"/>
                <wp:docPr id="3"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2"/>
                        <a:stretch/>
                      </pic:blipFill>
                      <pic:spPr bwMode="auto">
                        <a:xfrm>
                          <a:off x="0" y="0"/>
                          <a:ext cx="1866900"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7.0pt;height:148.5pt;mso-wrap-distance-left:0.0pt;mso-wrap-distance-top:0.0pt;mso-wrap-distance-right:0.0pt;mso-wrap-distance-bottom:0.0pt;" stroked="f">
                <v:path textboxrect="0,0,0,0"/>
                <v:imagedata r:id="rId12" o:title=""/>
              </v:shape>
            </w:pict>
          </mc:Fallback>
        </mc:AlternateContent>
      </w:r>
      <w:r/>
    </w:p>
    <w:p>
      <w:pPr>
        <w:ind w:firstLine="208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224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采购人：苏州市振华中学校</w:t>
      </w:r>
      <w:r/>
    </w:p>
    <w:p>
      <w:pPr>
        <w:ind w:firstLine="224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采购编号：</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JSZC-320508-SZZJ-G2025-0062</w:t>
      </w:r>
      <w:r/>
    </w:p>
    <w:p>
      <w:pPr>
        <w:ind w:firstLine="224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采购内容：学校安保消控服务</w:t>
      </w:r>
      <w:r/>
    </w:p>
    <w:p>
      <w:pPr>
        <w:ind w:firstLine="224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采购类别：</w:t>
      </w:r>
      <w:r>
        <w:rPr>
          <w:rFonts w:hint="eastAsia" w:ascii="宋体" w:hAnsi="宋体" w:eastAsia="宋体" w:cs="宋体"/>
          <w:color w:val="000000" w:themeColor="text1"/>
          <w:sz w:val="32"/>
          <w:szCs w:val="32"/>
          <w:highlight w:val="none"/>
          <w14:textFill>
            <w14:solidFill>
              <w14:schemeClr w14:val="tx1"/>
            </w14:solidFill>
          </w14:textFill>
        </w:rPr>
        <w:t xml:space="preserve">服务类</w:t>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苏州正杰招投标咨询服务有限公司</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20</w:t>
      </w:r>
      <w:r>
        <w:rPr>
          <w:rFonts w:hint="eastAsia" w:ascii="宋体" w:hAnsi="宋体" w:eastAsia="宋体" w:cs="宋体"/>
          <w:color w:val="000000" w:themeColor="text1"/>
          <w:sz w:val="32"/>
          <w:szCs w:val="32"/>
          <w:highlight w:val="none"/>
          <w14:textFill>
            <w14:solidFill>
              <w14:schemeClr w14:val="tx1"/>
            </w14:solidFill>
          </w14:textFill>
        </w:rPr>
        <w:t xml:space="preserve">25年12月</w:t>
      </w:r>
      <w:r/>
    </w:p>
    <w:p>
      <w:pPr>
        <w:jc w:val="center"/>
        <w:spacing w:line="360" w:lineRule="auto"/>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目录</w:t>
      </w:r>
      <w:r/>
    </w:p>
    <w:p>
      <w:pPr>
        <w:pStyle w:val="879"/>
        <w:ind w:firstLine="0"/>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第一章 投标邀请函........................................</w:t>
      </w:r>
      <w:r/>
    </w:p>
    <w:p>
      <w:pPr>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p>
    <w:p>
      <w:pPr>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 投标文件格式......................................</w:t>
      </w:r>
      <w:r/>
    </w:p>
    <w:p>
      <w:pPr>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第四章 采购需求..........................................</w:t>
      </w:r>
      <w:r/>
    </w:p>
    <w:p>
      <w:pPr>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 合同主要条款......................................</w:t>
      </w:r>
      <w:r/>
    </w:p>
    <w:p>
      <w:pPr>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评分方法和评分标准................................</w:t>
      </w:r>
      <w:r/>
    </w:p>
    <w:p>
      <w:pPr>
        <w:pStyle w:val="879"/>
        <w:ind w:firstLine="0"/>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第一章投标邀请函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14:textFill>
            <w14:solidFill>
              <w14:schemeClr w14:val="tx1"/>
            </w14:solidFill>
          </w14:textFill>
        </w:rPr>
        <w:t xml:space="preserve">苏州市振华中学校</w:t>
      </w:r>
      <w:r>
        <w:rPr>
          <w:rFonts w:hint="eastAsia" w:ascii="宋体" w:hAnsi="宋体" w:eastAsia="宋体" w:cs="宋体"/>
          <w:color w:val="000000" w:themeColor="text1"/>
          <w:sz w:val="24"/>
          <w:szCs w:val="24"/>
          <w:highlight w:val="none"/>
          <w14:textFill>
            <w14:solidFill>
              <w14:schemeClr w14:val="tx1"/>
            </w14:solidFill>
          </w14:textFill>
        </w:rPr>
        <w:t xml:space="preserve">委托，对其要求采购的学校安保消控服务项目进行公开招标，欢迎符合资格条件和具备履约能力的供应商单位前来参与。</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JSZC-320508-SZZJ-G2025-0062</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学校安保消控服务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14:textFill>
            <w14:solidFill>
              <w14:schemeClr w14:val="tx1"/>
            </w14:solidFill>
          </w14:textFill>
        </w:rPr>
        <w:t xml:space="preserve">人民币1890000.00元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eastAsia="宋体" w:cs="宋体"/>
          <w:color w:val="000000" w:themeColor="text1"/>
          <w:sz w:val="24"/>
          <w:szCs w:val="24"/>
          <w:highlight w:val="none"/>
          <w14:textFill>
            <w14:solidFill>
              <w14:schemeClr w14:val="tx1"/>
            </w14:solidFill>
          </w14:textFill>
        </w:rPr>
        <w:t xml:space="preserve">人民币1890000.00元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1、标的的名称：</w:t>
      </w:r>
      <w:r>
        <w:rPr>
          <w:rFonts w:hint="eastAsia" w:ascii="宋体" w:hAnsi="宋体" w:eastAsia="宋体" w:cs="宋体"/>
          <w:color w:val="000000" w:themeColor="text1"/>
          <w:sz w:val="24"/>
          <w:szCs w:val="24"/>
          <w:highlight w:val="none"/>
          <w14:textFill>
            <w14:solidFill>
              <w14:schemeClr w14:val="tx1"/>
            </w14:solidFill>
          </w14:textFill>
        </w:rPr>
        <w:t xml:space="preserve">学校安保消控服务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2、数量：1批。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简要技术需求或服务要求等：</w:t>
      </w:r>
      <w:r>
        <w:rPr>
          <w:rFonts w:hint="eastAsia" w:ascii="宋体" w:hAnsi="宋体" w:eastAsia="宋体" w:cs="宋体"/>
          <w:color w:val="000000" w:themeColor="text1"/>
          <w:sz w:val="24"/>
          <w:highlight w:val="none"/>
          <w14:textFill>
            <w14:solidFill>
              <w14:schemeClr w14:val="tx1"/>
            </w14:solidFill>
          </w14:textFill>
        </w:rPr>
        <w:t xml:space="preserve">苏州市振华中学校关于学校安保消控服务的采购需求，为进一步健全学校安全风险防控体系，着力打造高质量平安校园，高效落实安全防范工作，有效维护师生员工安全，建设平安校园。学校拟采购保安最低服务人员不少于19名，消控室值班最低服务人员不少于8名。具体要求详见招标文件第四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合同履行期限：一年（具体进场时间以甲方通知为准）。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本项目不接受联合体投标、不接受进口产品、不允许转包。</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据《政府采购促进中小企业发展管理办法》的相关规定，本项目专门面向中小企业，所属行业为</w:t>
      </w:r>
      <w:r>
        <w:rPr>
          <w:rFonts w:hint="eastAsia" w:ascii="宋体" w:hAnsi="宋体" w:eastAsia="宋体" w:cs="宋体"/>
          <w:b/>
          <w:color w:val="000000" w:themeColor="text1"/>
          <w:sz w:val="24"/>
          <w:szCs w:val="24"/>
          <w:highlight w:val="none"/>
          <w14:textFill>
            <w14:solidFill>
              <w14:schemeClr w14:val="tx1"/>
            </w14:solidFill>
          </w14:textFill>
        </w:rPr>
        <w:t xml:space="preserve">租赁和商务服务业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，供应商应为中小微企业、监狱企业、残疾人福利性单位。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（1）具有有效期内的《保安服务许可证》。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w:t>
      </w:r>
      <w:r>
        <w:rPr>
          <w:rFonts w:hint="eastAsia" w:ascii="宋体" w:hAnsi="宋体" w:eastAsia="宋体" w:cs="宋体"/>
          <w:color w:val="000000" w:themeColor="text1"/>
          <w:sz w:val="24"/>
          <w:szCs w:val="24"/>
          <w:highlight w:val="none"/>
          <w14:textFill>
            <w14:solidFill>
              <w14:schemeClr w14:val="tx1"/>
            </w14:solidFill>
          </w14:textFill>
        </w:rPr>
        <w:t xml:space="preserve">一合同项下的政府采购活动。</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时间：自招标文件公告发布之日起5个工作日。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地点：“苏采云”系统自行下载招标文件。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方式（网上报名）：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（1）CA办理：</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themeColor="text1"/>
          <w:sz w:val="24"/>
          <w:szCs w:val="24"/>
          <w:highlight w:val="none"/>
          <w14:textFill>
            <w14:solidFill>
              <w14:schemeClr w14:val="tx1"/>
            </w14:solidFill>
          </w14:textFill>
        </w:rPr>
        <w:t xml:space="preserve">苏州市高新区邓尉路105号狮山科技馆一楼服务大厅</w:t>
      </w:r>
      <w:r>
        <w:rPr>
          <w:rFonts w:hint="eastAsia" w:ascii="宋体" w:hAnsi="宋体" w:eastAsia="宋体" w:cs="宋体"/>
          <w:color w:val="000000" w:themeColor="text1"/>
          <w:sz w:val="24"/>
          <w:szCs w:val="24"/>
          <w:highlight w:val="none"/>
          <w14:textFill>
            <w14:solidFill>
              <w14:schemeClr w14:val="tx1"/>
            </w14:solidFill>
          </w14:textFill>
        </w:rPr>
        <w:t xml:space="preserve">，咨询电话：0512-65737699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（2）依法获取采购文件：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未依照采购公告要求获取采购文件的供应商，视为未参加该项政府采购活动，不具备对该政府采购项目提出质疑的法定权利。</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（3）技术咨询服务电话：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CA技术咨询服务电话：400-608-6099；</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电子签章技术咨询服务电话：025-83633811、025-83633812、15380932027、15371015030；</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13914088964、18261002950、0519-86722802</w:t>
      </w:r>
      <w:r>
        <w:rPr>
          <w:rFonts w:hint="eastAsia" w:ascii="宋体" w:hAnsi="宋体" w:eastAsia="宋体" w:cs="宋体"/>
          <w:color w:val="000000" w:themeColor="text1"/>
          <w:sz w:val="24"/>
          <w:szCs w:val="24"/>
          <w:highlight w:val="none"/>
          <w14:textFill>
            <w14:solidFill>
              <w14:schemeClr w14:val="tx1"/>
            </w14:solidFill>
          </w14:textFill>
        </w:rPr>
        <w:t xml:space="preserve">；QQ：3048755361、1315179389、895706745；智能客服：登录苏采云系统后，联系系统右下方智能客服图标进行咨询。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售价：本项目免费下载电子采购文件。</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四、提交投标文件截止时间、开标时间和地点：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1、时间：2026年1月6日13点30分（北京时间）。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900"/>
          <w:rFonts w:hint="eastAsia" w:ascii="宋体" w:hAnsi="宋体" w:eastAsia="宋体" w:cs="宋体"/>
          <w:color w:val="000000" w:themeColor="text1"/>
          <w:sz w:val="24"/>
          <w:szCs w:val="24"/>
          <w:highlight w:val="none"/>
          <w14:textFill>
            <w14:solidFill>
              <w14:schemeClr w14:val="tx1"/>
            </w14:solidFill>
          </w14:textFill>
        </w:rPr>
        <w:t xml:space="preserve">http：//jszfcg.jsczt.cn/）。</w:t>
      </w:r>
      <w:r>
        <w:rPr>
          <w:rStyle w:val="900"/>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3、方式：投标文件网上递交</w:t>
      </w:r>
      <w:bookmarkStart w:id="0" w:name="_Hlk90650305"/>
      <w:r/>
      <w:bookmarkEnd w:id="0"/>
      <w:r/>
      <w:bookmarkStart w:id="1" w:name="_Hlk90650417"/>
      <w:r>
        <w:rPr>
          <w:rFonts w:hint="eastAsia" w:ascii="宋体" w:hAnsi="宋体" w:eastAsia="宋体" w:cs="宋体"/>
          <w:color w:val="000000" w:themeColor="text1"/>
          <w:sz w:val="24"/>
          <w:szCs w:val="24"/>
          <w:highlight w:val="none"/>
          <w14:textFill>
            <w14:solidFill>
              <w14:schemeClr w14:val="tx1"/>
            </w14:solidFill>
          </w14:textFill>
        </w:rPr>
        <w:t xml:space="preserve"> ，不需要现场参加采购活动。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线上参加开标（开启）会方式：供应商登录“苏采云”系统，点击“开标大厅”，选择对应项目，点击进入不见面开标系统。 </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本项目为不见面开标（开启）项目，</w:t>
      </w:r>
      <w:r>
        <w:rPr>
          <w:rFonts w:hint="eastAsia" w:ascii="宋体" w:hAnsi="宋体" w:eastAsia="宋体" w:cs="宋体"/>
          <w:b/>
          <w:bCs/>
          <w:color w:val="000000" w:themeColor="text1"/>
          <w:sz w:val="24"/>
          <w:szCs w:val="24"/>
          <w:highlight w:val="none"/>
          <w14:textFill>
            <w14:solidFill>
              <w14:schemeClr w14:val="tx1"/>
            </w14:solidFill>
          </w14:textFill>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请供应商确保电脑、系统及其他设备（视频输入输出设备等）无误，且开启直至项目结束始终保持系统在线状态。 </w:t>
      </w:r>
      <w:bookmarkEnd w:id="1"/>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五、公告期限：</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六、其他补充事宜：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《关于政府采购支持监狱企业发展有关问题的通知》（财库〔2014〕68号）。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《关于促进残疾人就业政府采购政策的通知》（财库〔2017〕141号）。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3、如不同供应商使用同一台电脑制作的电子投标文件的，双方“文件制作机器码”一致的，则其投标文件将被认定为无效投标。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5、政府采购监督电话：0512-68728409。</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七、对本次招标提出询问，请按以下方式联系：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1、采购单位信息：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名称：苏州市振华中学校。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地址：苏州市十全街101号。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联系方式：电话0512-65302950。</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名称：苏州正杰招投标咨询服务有限公司。</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地址：苏州市平泷路251号苏州城市生活广场B座1557室。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联系方式：电话0512-62826523。</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王军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0512-65302950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项目联系人：徐杰、沈鹰、陈晓梦。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电话：0512-62826523。</w:t>
      </w:r>
      <w:r/>
    </w:p>
    <w:p>
      <w:pP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1.1.1详见第一章投标邀请函中“二、申请人的资格要求”。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1.1.3联合体投标：</w:t>
      </w:r>
      <w:r>
        <w:rPr>
          <w:rFonts w:hint="eastAsia" w:ascii="宋体" w:hAnsi="宋体" w:eastAsia="宋体" w:cs="宋体"/>
          <w:bCs/>
          <w:color w:val="000000" w:themeColor="text1"/>
          <w:sz w:val="24"/>
          <w:szCs w:val="24"/>
          <w:highlight w:val="none"/>
          <w14:textFill>
            <w14:solidFill>
              <w14:schemeClr w14:val="tx1"/>
            </w14:solidFill>
          </w14:textFill>
        </w:rPr>
        <w:t xml:space="preserve">第一章投标邀请函规定接受联合体投标的，联合体除应符合上述资格要求外，还应遵守以下规定：</w:t>
      </w:r>
      <w:r/>
    </w:p>
    <w:p>
      <w:pPr>
        <w:ind w:firstLine="484"/>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（1）联合体各方应当向采购人提交联合体协议书，载明联合体各方承担的工作和义务，否则投标无效。</w:t>
      </w:r>
      <w:r/>
    </w:p>
    <w:p>
      <w:pPr>
        <w:ind w:firstLine="484"/>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（2）本项目接受联合体投标，但一个联合体最多接受两个单位进行联合投标。</w:t>
      </w:r>
      <w:r/>
    </w:p>
    <w:p>
      <w:pPr>
        <w:ind w:firstLine="484"/>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（5）联合体各方应当共同与采购人签订采购合同，就采购合同约定的事项对采购人承担连带责任。</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 分包、转包</w:t>
      </w:r>
      <w:r/>
    </w:p>
    <w:p>
      <w:pPr>
        <w:ind w:left="424"/>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本项目不允许分包或转包。</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1.3投标费用</w:t>
      </w:r>
      <w:r/>
    </w:p>
    <w:p>
      <w:pPr>
        <w:ind w:left="424"/>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（1）投标人应自行承担所有准备及参加投标的相关费用。</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1.4保密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参与采购活动的各方应对招标文件和投标文件中的商业和技术等秘密保密，否则应承担相应的法律责任。</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1.5语言文字</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1.6计量单位</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除招标文件有特殊要求外，所有计量均采用中华人民共和国法定计量单位。</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1.7知识产权</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2、招标文件的说明</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2.1招标文件的获取见第一章投标邀请函。</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供应商在收到招标文件后，若有问题需要询问，应于下载招标文件后，可通过投标邀请函中的联系方式及时提出，采购人或采购代理机构将予以解答。</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2.3招标文件的澄清或修改</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2.3.4招标文件的澄清、修改、补充等内容均以苏州市政府采购网上发布的内容为准。</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3、投标文件的说明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3.1投标保证金：无。</w:t>
      </w:r>
      <w:r/>
    </w:p>
    <w:p>
      <w:pPr>
        <w:ind w:left="424"/>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3.2投标文件的组成</w:t>
      </w:r>
      <w:r/>
    </w:p>
    <w:p>
      <w:pPr>
        <w:ind w:left="424"/>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3.2.1封面；</w:t>
      </w:r>
      <w:r/>
    </w:p>
    <w:p>
      <w:pPr>
        <w:ind w:left="424"/>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3.2.3公开分项报价表（如有，格式见第三章）；</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3.2.4资格审查投标文件：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3.2.4.1供应商的资格要求：</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具有有效期内的《保安服务许可证》；</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3.2.5符合性审查投标文件：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3.2.5.1投标函（格式见第三章）；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3.2.5.3法定代表人身份证复印件；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3.2.5.7其他有关符合性证明的文件（若有）。</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3.2.6综合评审投标文件（见第六章）；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3.2.7与本次采购相关的其他证明材料。</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以上3.2.2-3.2.3项为供应商报价的依据，投标供应商必须提供并加盖电子公章，否则，投标文件将被认定为未实质性响应。</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以上3.2.4.1项为资格审查提供的资料，是作为对供应商资格审查、质疑身份认定的依据，响应供应商必须提供并加盖电子公章，否则，投标文件将被认定为不符合资格审查要求。</w:t>
      </w:r>
      <w:r/>
    </w:p>
    <w:p>
      <w:pPr>
        <w:ind w:firstLine="480"/>
        <w:spacing w:line="360" w:lineRule="auto"/>
        <w:tabs>
          <w:tab w:val="left" w:pos="0"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以上3.2.5.1-3.2.5.4为符合性审查必须提供的资料，投标供应商必须提供并加盖电子公章，否则，投标将被认定为未实质性响应。</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制作电子投标文件时需与投标文件制作软件目录一一对应，将相关资料上传至相应模块。</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供应商应保证上传的投标文件完整、清晰可辨认，若因上传资料过小或模糊不清等无法辨认的都视为该资料未提供。</w:t>
      </w:r>
      <w:r/>
    </w:p>
    <w:p>
      <w:pPr>
        <w:ind w:firstLine="470"/>
        <w:spacing w:line="360" w:lineRule="auto"/>
        <w:tabs>
          <w:tab w:val="left" w:pos="540" w:leader="none"/>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如供应商投标文件中某些条款不响应招标文件提出的全部服务内容与要求，须在投标文件中逐条列出，未列出的视同响应。</w:t>
      </w:r>
      <w:r/>
    </w:p>
    <w:p>
      <w:pPr>
        <w:ind w:firstLine="480"/>
        <w:spacing w:line="360" w:lineRule="auto"/>
        <w:tabs>
          <w:tab w:val="left" w:pos="142" w:leader="none"/>
          <w:tab w:val="left" w:pos="6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如不同供应商使用同一台电脑制作的电子</w:t>
      </w:r>
      <w:r>
        <w:rPr>
          <w:rFonts w:hint="eastAsia" w:ascii="宋体" w:hAnsi="宋体" w:eastAsia="宋体" w:cs="宋体"/>
          <w:b/>
          <w:bCs/>
          <w:color w:val="000000" w:themeColor="text1"/>
          <w:sz w:val="24"/>
          <w:szCs w:val="24"/>
          <w:highlight w:val="none"/>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文件的，双方“文件制作机器码”一致的，则其</w:t>
      </w:r>
      <w:r>
        <w:rPr>
          <w:rFonts w:hint="eastAsia" w:ascii="宋体" w:hAnsi="宋体" w:eastAsia="宋体" w:cs="宋体"/>
          <w:b/>
          <w:bCs/>
          <w:color w:val="000000" w:themeColor="text1"/>
          <w:sz w:val="24"/>
          <w:szCs w:val="24"/>
          <w:highlight w:val="none"/>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文件将被认定为无效投标。</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3.3投标报价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3.3.6投标文件报价中的单价和总价全部采用人民币表示，除非另有规定。</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3.4电子投标文件的编制与提交</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2" w:name="_Hlk154589874"/>
      <w:r>
        <w:rPr>
          <w:rFonts w:hint="eastAsia" w:ascii="宋体" w:hAnsi="宋体" w:eastAsia="宋体" w:cs="宋体"/>
          <w:color w:val="000000" w:themeColor="text1"/>
          <w:sz w:val="24"/>
          <w:szCs w:val="24"/>
          <w:highlight w:val="none"/>
          <w14:textFill>
            <w14:solidFill>
              <w14:schemeClr w14:val="tx1"/>
            </w14:solidFill>
          </w14:textFill>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注：（1）请供应商务必保管好编制递交电子投标文件时使用的CA，如因丢失、损坏等原因更换CA锁时，需重新制作电子投标文件并递交，否则可能无法解密，因此导致的投标失败等不利后果由供应商自行承担。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本项目在政府采购信息发布媒体上发布了更正（补充）公告，请供应商务必在“苏采云”系统中下载更正（补充）资料，根据更正后的招标文件重新编制电子投标文件并递交，否则可能无法解密，因此导致的投标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3.4.3投标文件未按照招标文件要求加盖CA电子公章的，投标无效。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3.5投标文件的开启（解密）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000000" w:themeColor="text1"/>
          <w:sz w:val="24"/>
          <w:szCs w:val="24"/>
          <w:highlight w:val="none"/>
          <w14:textFill>
            <w14:solidFill>
              <w14:schemeClr w14:val="tx1"/>
            </w14:solidFill>
          </w14:textFill>
        </w:rPr>
        <w:t xml:space="preserve">否则导致的对供应商不利的后果由供应商自行承担。</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3.5.3供应商在苏采云系统规定的时间内未成功解密电子投标文件的，投标无效。</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3.5.4</w:t>
      </w:r>
      <w:bookmarkEnd w:id="2"/>
      <w:r>
        <w:rPr>
          <w:rFonts w:hint="eastAsia" w:ascii="宋体" w:hAnsi="宋体" w:eastAsia="宋体" w:cs="宋体"/>
          <w:color w:val="000000" w:themeColor="text1"/>
          <w:sz w:val="24"/>
          <w:szCs w:val="24"/>
          <w:highlight w:val="none"/>
          <w14:textFill>
            <w14:solidFill>
              <w14:schemeClr w14:val="tx1"/>
            </w14:solidFill>
          </w14:textFill>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3.5.5 CA技术咨询服务电话：400-608-6099；</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13914088964、18261002950、0519-86722802</w:t>
      </w:r>
      <w:r>
        <w:rPr>
          <w:rFonts w:hint="eastAsia" w:ascii="宋体" w:hAnsi="宋体" w:eastAsia="宋体" w:cs="宋体"/>
          <w:color w:val="000000" w:themeColor="text1"/>
          <w:sz w:val="24"/>
          <w:szCs w:val="24"/>
          <w:highlight w:val="none"/>
          <w14:textFill>
            <w14:solidFill>
              <w14:schemeClr w14:val="tx1"/>
            </w14:solidFill>
          </w14:textFill>
        </w:rPr>
        <w:t xml:space="preserve">；QQ：3048755361、1315179389、895706745；智能客服：登录苏采云系统后，联系系统右下方智能客服图标进行咨询。 </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3.6投标文件的修改和撤回：</w:t>
      </w:r>
      <w:r/>
    </w:p>
    <w:p>
      <w:pPr>
        <w:pStyle w:val="97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3.6.1供应商在提交投标文件截止时间前，可以对所递交的投标文件进行补充、修改或者撤回，具体操作方法见《操作手册》。提交投标文件截止时间后供应商不得撤回投标文件。</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4、开标和评标：</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4.1开标</w:t>
      </w:r>
      <w:r/>
    </w:p>
    <w:p>
      <w:pPr>
        <w:pStyle w:val="97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4.1.</w:t>
      </w:r>
      <w:r>
        <w:rPr>
          <w:rFonts w:hint="eastAsia" w:ascii="宋体" w:hAnsi="宋体" w:eastAsia="宋体" w:cs="宋体"/>
          <w:color w:val="000000" w:themeColor="text1"/>
          <w:szCs w:val="24"/>
          <w:highlight w:val="none"/>
          <w:lang w:val="en-US"/>
          <w14:textFill>
            <w14:solidFill>
              <w14:schemeClr w14:val="tx1"/>
            </w14:solidFill>
          </w14:textFill>
        </w:rPr>
        <w:t xml:space="preserve">1</w:t>
      </w:r>
      <w:r>
        <w:rPr>
          <w:rFonts w:hint="eastAsia" w:ascii="宋体" w:hAnsi="宋体" w:eastAsia="宋体" w:cs="宋体"/>
          <w:color w:val="000000" w:themeColor="text1"/>
          <w:szCs w:val="24"/>
          <w:highlight w:val="none"/>
          <w14:textFill>
            <w14:solidFill>
              <w14:schemeClr w14:val="tx1"/>
            </w14:solidFill>
          </w14:textFill>
        </w:rPr>
        <w:t xml:space="preserve">开标由采购代理机构</w:t>
      </w:r>
      <w:r>
        <w:rPr>
          <w:rFonts w:hint="eastAsia" w:ascii="宋体" w:hAnsi="宋体" w:eastAsia="宋体" w:cs="宋体"/>
          <w:color w:val="000000" w:themeColor="text1"/>
          <w:szCs w:val="24"/>
          <w:highlight w:val="none"/>
          <w:lang w:val="en-US"/>
          <w14:textFill>
            <w14:solidFill>
              <w14:schemeClr w14:val="tx1"/>
            </w14:solidFill>
          </w14:textFill>
        </w:rPr>
        <w:t xml:space="preserve">在线</w:t>
      </w:r>
      <w:r>
        <w:rPr>
          <w:rFonts w:hint="eastAsia" w:ascii="宋体" w:hAnsi="宋体" w:eastAsia="宋体" w:cs="宋体"/>
          <w:color w:val="000000" w:themeColor="text1"/>
          <w:szCs w:val="24"/>
          <w:highlight w:val="none"/>
          <w14:textFill>
            <w14:solidFill>
              <w14:schemeClr w14:val="tx1"/>
            </w14:solidFill>
          </w14:textFill>
        </w:rPr>
        <w:t xml:space="preserve">主持，邀请投标人</w:t>
      </w:r>
      <w:r>
        <w:rPr>
          <w:rFonts w:hint="eastAsia" w:ascii="宋体" w:hAnsi="宋体" w:eastAsia="宋体" w:cs="宋体"/>
          <w:color w:val="000000" w:themeColor="text1"/>
          <w:szCs w:val="24"/>
          <w:highlight w:val="none"/>
          <w:lang w:val="en-US"/>
          <w14:textFill>
            <w14:solidFill>
              <w14:schemeClr w14:val="tx1"/>
            </w14:solidFill>
          </w14:textFill>
        </w:rPr>
        <w:t xml:space="preserve">在线</w:t>
      </w:r>
      <w:r>
        <w:rPr>
          <w:rFonts w:hint="eastAsia" w:ascii="宋体" w:hAnsi="宋体" w:eastAsia="宋体" w:cs="宋体"/>
          <w:color w:val="000000" w:themeColor="text1"/>
          <w:szCs w:val="24"/>
          <w:highlight w:val="none"/>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Cs w:val="24"/>
          <w:highlight w:val="none"/>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Cs w:val="24"/>
          <w:highlight w:val="none"/>
          <w14:textFill>
            <w14:solidFill>
              <w14:schemeClr w14:val="tx1"/>
            </w14:solidFill>
          </w14:textFill>
        </w:rPr>
        <w:t xml:space="preserve">。评标委员会成员不得参加开标活动。</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开标时，由采购代理机构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通过“苏采云”系统在线</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宣布投标人名称、投标价格和招标文件规定的需要宣布的其他内容。</w:t>
      </w:r>
      <w:r>
        <w:rPr>
          <w:rFonts w:hint="eastAsia" w:ascii="宋体" w:hAnsi="宋体" w:eastAsia="宋体" w:cs="宋体"/>
          <w:color w:val="000000" w:themeColor="text1"/>
          <w:sz w:val="24"/>
          <w:szCs w:val="24"/>
          <w:highlight w:val="none"/>
          <w14:textFill>
            <w14:solidFill>
              <w14:schemeClr w14:val="tx1"/>
            </w14:solidFill>
          </w14:textFill>
        </w:rPr>
        <w:t xml:space="preserve">投标人在不见面开标系统中确认投标价格，如</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投标人未</w:t>
      </w:r>
      <w:r>
        <w:rPr>
          <w:rFonts w:hint="eastAsia" w:ascii="宋体" w:hAnsi="宋体" w:eastAsia="宋体" w:cs="宋体"/>
          <w:color w:val="000000" w:themeColor="text1"/>
          <w:sz w:val="24"/>
          <w:szCs w:val="24"/>
          <w:highlight w:val="none"/>
          <w14:textFill>
            <w14:solidFill>
              <w14:schemeClr w14:val="tx1"/>
            </w14:solidFill>
          </w14:textFill>
        </w:rPr>
        <w:t xml:space="preserve">在线</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参加开标</w:t>
      </w:r>
      <w:r>
        <w:rPr>
          <w:rFonts w:hint="eastAsia" w:ascii="宋体" w:hAnsi="宋体" w:eastAsia="宋体" w:cs="宋体"/>
          <w:color w:val="000000" w:themeColor="text1"/>
          <w:sz w:val="24"/>
          <w:szCs w:val="24"/>
          <w:highlight w:val="none"/>
          <w14:textFill>
            <w14:solidFill>
              <w14:schemeClr w14:val="tx1"/>
            </w14:solidFill>
          </w14:textFill>
        </w:rPr>
        <w:t xml:space="preserve">或未在规定时间内确认价格</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的，视同认可开标结果。</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4.2资格审查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4.2.2.1查询时间：投标文件提交截止时间。</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4.2.2.2查询渠道：通过“信用中国”、“信用江苏”及“中国政府采购网” 上的信用信息查询供应商的信用记录。 </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采购代理机构工作人员应登陆到来源网站页面进行复核并打印，</w:t>
      </w:r>
      <w:r>
        <w:rPr>
          <w:rFonts w:hint="eastAsia" w:ascii="宋体" w:hAnsi="宋体" w:eastAsia="宋体" w:cs="宋体"/>
          <w:color w:val="000000" w:themeColor="text1"/>
          <w:sz w:val="24"/>
          <w:szCs w:val="24"/>
          <w:highlight w:val="none"/>
          <w14:textFill>
            <w14:solidFill>
              <w14:schemeClr w14:val="tx1"/>
            </w14:solidFill>
          </w14:textFill>
        </w:rPr>
        <w:t xml:space="preserve">作为证据留存。</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themeColor="text1"/>
          <w:sz w:val="24"/>
          <w:szCs w:val="24"/>
          <w:highlight w:val="none"/>
          <w14:textFill>
            <w14:solidFill>
              <w14:schemeClr w14:val="tx1"/>
            </w14:solidFill>
          </w14:textFill>
        </w:rPr>
        <w:t xml:space="preserve">信用记录属于应依法拒绝供应商参加政府采购的失信信息，存在此类失信信息的投标人的投标无效。</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4.3.4评标委员会成员应当按照客观、公正、审慎的原则，根据招标文件规定的评审程序、评审方法和评审标准进行独立评审。</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4.4评标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4.4.3.2本项目采用线上澄清。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4.4.3.4接到评审小组澄清、说明和更正要求的供应商如未按规定做出澄清、说明和更正，其风险由供应商自行承担。</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5、废标</w:t>
      </w:r>
      <w:r/>
    </w:p>
    <w:p>
      <w:pPr>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（四）因重大变故，采购任务取消的。</w:t>
      </w:r>
      <w:r/>
    </w:p>
    <w:p>
      <w:pPr>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5.2废标后，采购人应当将废标理由通知所有投标人。</w:t>
      </w:r>
      <w:r/>
    </w:p>
    <w:p>
      <w:pPr>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5.3政府采购异常低价审查：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5.3.1评审过程中出现下列情形之一的，评审委员会应当启动异常低价投标（响应）审查程序：</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（1）投标（响应）报价低于采购项目预算50%的，即投标（响应）报价&lt;采购项目预算×50%；</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（2）投标（响应）报价低于采购项目最高限价45%的，即投标（响应）报价&lt;采购项目最高限价×45%；</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5.4未在规定时间提交最后报价的，响应文件按无效处理。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5.5在规定时间内提交最后报价的供应商少于3家的，项目终止。</w:t>
      </w:r>
      <w:r/>
    </w:p>
    <w:p>
      <w:pPr>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5.6如评审过程中出现本招标文件未尽事宜，由评审小组根据政府采购有关法律、法规讨论决定。</w:t>
      </w:r>
      <w:r/>
    </w:p>
    <w:p>
      <w:pPr>
        <w:ind w:firstLine="480"/>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6、中标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6.5采购人或采购代理机构根据相关规定发布中标公告，中标公告发出的同时应当向中标供应商发出《中标通知书》</w:t>
      </w:r>
      <w:bookmarkStart w:id="3" w:name="_Hlk132389804"/>
      <w:r/>
      <w:bookmarkStart w:id="4" w:name="_Hlk132385599"/>
      <w:r/>
      <w:bookmarkStart w:id="5" w:name="_Hlk132385577"/>
      <w:r>
        <w:rPr>
          <w:rFonts w:hint="eastAsia" w:ascii="宋体" w:hAnsi="宋体" w:eastAsia="宋体" w:cs="宋体"/>
          <w:color w:val="000000" w:themeColor="text1"/>
          <w:sz w:val="24"/>
          <w:szCs w:val="24"/>
          <w:highlight w:val="none"/>
          <w14:textFill>
            <w14:solidFill>
              <w14:schemeClr w14:val="tx1"/>
            </w14:solidFill>
          </w14:textFill>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themeColor="text1"/>
          <w:sz w:val="24"/>
          <w:szCs w:val="24"/>
          <w:highlight w:val="none"/>
          <w14:textFill>
            <w14:solidFill>
              <w14:schemeClr w14:val="tx1"/>
            </w14:solidFill>
          </w14:textFill>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6.6中标通知书发出后，采购人不得违法改变中标结果，中标单位无正当理由不得放弃中标。</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7、履约保证金</w:t>
      </w:r>
      <w:r/>
    </w:p>
    <w:p>
      <w:pPr>
        <w:pStyle w:val="97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见第五章合同文本履约保证金条款。</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8、合同的签订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8.1采购人应当自中标通知书发出之日起15日内（最迟30日内</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，按照招标文件及投标文件规定与中标单位签订书面合同。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8.5中标供应商无正当理由不得放弃中标。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9.4对招标文件内容质疑时，</w:t>
      </w:r>
      <w:r>
        <w:rPr>
          <w:rFonts w:hint="eastAsia" w:ascii="宋体" w:hAnsi="宋体" w:eastAsia="宋体" w:cs="宋体"/>
          <w:b/>
          <w:color w:val="000000" w:themeColor="text1"/>
          <w:sz w:val="24"/>
          <w:szCs w:val="24"/>
          <w:highlight w:val="none"/>
          <w14:textFill>
            <w14:solidFill>
              <w14:schemeClr w14:val="tx1"/>
            </w14:solidFill>
          </w14:textFill>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9.5接收质疑函的方式为书面形式（当场送达或邮寄方式）</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向采购人、采购代理机构提出质疑，联系人、联系电话和通讯地址等信息以招标公告中</w:t>
      </w:r>
      <w:r>
        <w:rPr>
          <w:rFonts w:hint="eastAsia" w:ascii="宋体" w:hAnsi="宋体" w:eastAsia="宋体" w:cs="宋体"/>
          <w:color w:val="000000" w:themeColor="text1"/>
          <w:sz w:val="24"/>
          <w:szCs w:val="24"/>
          <w:highlight w:val="none"/>
          <w14:textFill>
            <w14:solidFill>
              <w14:schemeClr w14:val="tx1"/>
            </w14:solidFill>
          </w14:textFill>
        </w:rPr>
        <w:t xml:space="preserve">对本次招标提出询问，请按以下方式联系</w:t>
      </w:r>
      <w:r>
        <w:rPr>
          <w:rFonts w:hint="eastAsia" w:ascii="宋体" w:hAnsi="宋体" w:eastAsia="宋体" w:cs="宋体"/>
          <w:bCs/>
          <w:color w:val="000000" w:themeColor="text1"/>
          <w:sz w:val="24"/>
          <w:szCs w:val="24"/>
          <w:highlight w:val="none"/>
          <w14:textFill>
            <w14:solidFill>
              <w14:schemeClr w14:val="tx1"/>
            </w14:solidFill>
          </w14:textFill>
        </w:rPr>
        <w:t xml:space="preserve">为准</w:t>
      </w:r>
      <w:r>
        <w:rPr>
          <w:rFonts w:hint="eastAsia" w:ascii="宋体" w:hAnsi="宋体" w:eastAsia="宋体" w:cs="宋体"/>
          <w:color w:val="000000" w:themeColor="text1"/>
          <w:sz w:val="24"/>
          <w:szCs w:val="24"/>
          <w:highlight w:val="none"/>
          <w14:textFill>
            <w14:solidFill>
              <w14:schemeClr w14:val="tx1"/>
            </w14:solidFill>
          </w14:textFill>
        </w:rPr>
        <w:t xml:space="preserve">。供应商质疑函范本格式请参照“苏州市政府采购”网站——“下载中心”——“</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18"/>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10、投标文件的有效期</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10.2在特殊情况下，采购人可与供应商协商延长投标文件的有效期，这种要求和答复都应以书面形式进行。</w:t>
      </w:r>
      <w:r/>
    </w:p>
    <w:p>
      <w:pPr>
        <w:ind w:firstLine="518"/>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11、代理服务费：由中标单位承担。</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11.1代理服务费以采购预算金额为基数依据，按如下规定的标准和差额定率累进法进行计算收取：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预算金额100万元以下部分，费率为该部分预算金额的1.5％；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预算金额100万元（含）－500万元部分，费率为该部分预算金额的1.1％；</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预算金额500万元（含）－1000万元部分，费率为该部分预算金额的0.8％；</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预算金额1000万元（含）－5000万元部分，费率为该部分预算金额的0.5％；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预算金额5000万元以上部分，费率为该部分预算金额的0.25％。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11.2本项目代理服务费（人民币）：24790.00元。</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11.3代理服务费由中标单位在领取中标通知书时一次性付清并含在其投标报价中。</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11.4中标单位如果未按上述规定缴纳中标服务费，采购代理机构将保留诉讼的权利。</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11.5采购代理机构服务费账号如下：</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收款单位：苏州正杰招投标咨询服务有限公司。</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银行账号：89190154740002582。</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开户银行：上海浦东发展银行苏州姑苏支行。</w:t>
      </w:r>
      <w:r/>
    </w:p>
    <w:p>
      <w:pPr>
        <w:ind w:firstLine="518"/>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12、其他事项</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12.1未尽事宜按《中华人民共和国政府采购法》及其他有关法律法规文件的规定执行。</w:t>
      </w:r>
      <w:r/>
    </w:p>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第三章 投标文件格式</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1、投标函</w:t>
      </w:r>
      <w:r/>
    </w:p>
    <w:p>
      <w:pPr>
        <w:pStyle w:val="891"/>
        <w:ind w:right="3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我们收到贵公司号招标文件，经仔细阅读和研究，我们决定参加投标。</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1、我们愿意按照招标文件的一切要求，提供完成该项目的全部内容。</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2、如果我们的投标被接受，我们将严格履行招标文件中规定的每一项要求，严格履行合同的责任和义务，保证按期、按质履行合同，完成合同内容所规定的全部工作。</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3、我们同意按招标文件规定，本投标书的有效期限自提交投标文件的截止之日起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天。如果我们在开标后规定的投标有效期内撤回投标，我们愿承担一切责任。</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5、我们认为你们有权决定中标人，还认为你们有权接受或拒绝投标人。</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6、我们愿意遵守招标公告及招标文件中所列的收费标准。</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7、我们承诺本项投标文件在开标后的全过程中保持有效。我们同意中标后若不履行投标文件的内容要求和各项承诺及义务的即被视为违约，我们愿承担一切责任。</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8、我们愿意按招标文件的规定交纳投标保证金，并同意投标人须知中关于投标保证金的规定。</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9、如果我们中标，我们愿意在签订合同时支付履约保证金，并按招标文件规定支付中标服务费；</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10、与本投标有关的通讯地址：</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                                 联系人：</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地址：                                 邮政编码：</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传真：</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投标人（单位盖章）：</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法定代表人或代理人（签字或盖章）：</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2、（投标方）法定代表人授权委托书</w:t>
      </w:r>
      <w:r/>
    </w:p>
    <w:p>
      <w:pPr>
        <w:pStyle w:val="879"/>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（姓名）</w:t>
      </w: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（姓名）</w:t>
      </w:r>
      <w:r>
        <w:rPr>
          <w:rFonts w:hint="eastAsia" w:ascii="宋体" w:hAnsi="宋体" w:eastAsia="宋体" w:cs="宋体"/>
          <w:color w:val="000000" w:themeColor="text1"/>
          <w:sz w:val="24"/>
          <w:szCs w:val="24"/>
          <w:highlight w:val="none"/>
          <w14:textFill>
            <w14:solidFill>
              <w14:schemeClr w14:val="tx1"/>
            </w14:solidFill>
          </w14:textFill>
        </w:rPr>
        <w:t xml:space="preserve">为我公司代理人，并以本公司的名义在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（采购编号）</w:t>
      </w:r>
      <w:r>
        <w:rPr>
          <w:rFonts w:hint="eastAsia" w:ascii="宋体" w:hAnsi="宋体" w:eastAsia="宋体" w:cs="宋体"/>
          <w:color w:val="000000" w:themeColor="text1"/>
          <w:sz w:val="24"/>
          <w:szCs w:val="24"/>
          <w:highlight w:val="none"/>
          <w14:textFill>
            <w14:solidFill>
              <w14:schemeClr w14:val="tx1"/>
            </w14:solidFill>
          </w14:textFill>
        </w:rPr>
        <w:t xml:space="preserve">号采购项目的开标、评标和合同签订过程中所签署的一切文件和处理与这有关的一切事务，我公司均予以承认。</w:t>
      </w:r>
      <w:r/>
    </w:p>
    <w:p>
      <w:pPr>
        <w:pStyle w:val="879"/>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代理人在授权委托书有效期内签署的所有文件不因授权委托的撤销而失效，除非有撤销授权委托的书面通知，本授权委托书有效期自投标文件提交开始至合同履行完毕止。</w:t>
      </w:r>
      <w:r/>
    </w:p>
    <w:p>
      <w:pPr>
        <w:pStyle w:val="879"/>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代理人无转委托权。特此委托。</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投标人（单位盖章）：</w:t>
      </w:r>
      <w:r/>
    </w:p>
    <w:p>
      <w:pPr>
        <w:pStyle w:val="879"/>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法定代表人：（签字或盖章）</w:t>
      </w:r>
      <w:r/>
    </w:p>
    <w:p>
      <w:pPr>
        <w:pStyle w:val="879"/>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代理人：（签字或盖章）</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79"/>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879"/>
        <w:ind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7"/>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3、开标一览表</w:t>
      </w:r>
      <w:r/>
    </w:p>
    <w:tbl>
      <w:tblPr>
        <w:tblStyle w:val="878"/>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730"/>
        <w:gridCol w:w="2268"/>
        <w:gridCol w:w="2268"/>
        <w:gridCol w:w="1833"/>
      </w:tblGrid>
      <w:tr>
        <w:trPr>
          <w:jc w:val="center"/>
          <w:trHeight w:val="427"/>
        </w:trPr>
        <w:tc>
          <w:tcPr>
            <w:tcW w:w="1473"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730"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采购内容</w:t>
            </w:r>
            <w:r/>
          </w:p>
        </w:tc>
        <w:tc>
          <w:tcPr>
            <w:tcW w:w="2268"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投标总价</w:t>
            </w:r>
            <w:r/>
          </w:p>
        </w:tc>
        <w:tc>
          <w:tcPr>
            <w:tcW w:w="2268"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服务期限</w:t>
            </w:r>
            <w:r/>
          </w:p>
        </w:tc>
        <w:tc>
          <w:tcPr>
            <w:tcW w:w="1833"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Pr>
        <w:tc>
          <w:tcPr>
            <w:tcW w:w="147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33" w:type="dxa"/>
            <w:vAlign w:val="center"/>
            <w:textDirection w:val="lrTb"/>
            <w:noWrap w:val="false"/>
          </w:tcPr>
          <w:p>
            <w:pPr>
              <w:pStyle w:val="887"/>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gridSpan w:val="5"/>
            <w:tcW w:w="9572" w:type="dxa"/>
            <w:vAlign w:val="center"/>
            <w:textDirection w:val="lrTb"/>
            <w:noWrap w:val="false"/>
          </w:tcPr>
          <w:p>
            <w:pPr>
              <w:pStyle w:val="887"/>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投标总价：人民币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（大写）           </w:t>
            </w:r>
            <w:r>
              <w:rPr>
                <w:rFonts w:hint="eastAsia" w:ascii="宋体" w:hAnsi="宋体" w:eastAsia="宋体" w:cs="宋体"/>
                <w:color w:val="000000" w:themeColor="text1"/>
                <w:sz w:val="24"/>
                <w:szCs w:val="24"/>
                <w:highlight w:val="none"/>
                <w14:textFill>
                  <w14:solidFill>
                    <w14:schemeClr w14:val="tx1"/>
                  </w14:solidFill>
                </w14:textFill>
              </w:rPr>
              <w:t xml:space="preserve">元整</w:t>
            </w:r>
            <w:r/>
          </w:p>
        </w:tc>
      </w:tr>
    </w:tbl>
    <w:p>
      <w:pPr>
        <w:pStyle w:val="887"/>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注：如未按照本表规定格式提供，则按无效投标报价的投标文件处理。</w:t>
      </w:r>
      <w:r/>
    </w:p>
    <w:p>
      <w:pPr>
        <w:pStyle w:val="887"/>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投标人（单位盖章）：</w:t>
      </w:r>
      <w:r/>
    </w:p>
    <w:p>
      <w:pPr>
        <w:pStyle w:val="887"/>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法定代表人或代理人（签字或盖章）：</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887"/>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4、投标报价明细表</w:t>
      </w:r>
      <w:r/>
    </w:p>
    <w:tbl>
      <w:tblPr>
        <w:tblStyle w:val="878"/>
        <w:tblW w:w="938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680"/>
        <w:gridCol w:w="829"/>
        <w:gridCol w:w="735"/>
        <w:gridCol w:w="735"/>
        <w:gridCol w:w="690"/>
        <w:gridCol w:w="675"/>
        <w:gridCol w:w="773"/>
        <w:gridCol w:w="840"/>
        <w:gridCol w:w="735"/>
        <w:gridCol w:w="735"/>
      </w:tblGrid>
      <w:tr>
        <w:trPr>
          <w:trHeight w:val="534"/>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条目</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r>
      <w:tr>
        <w:trPr>
          <w:trHeight w:val="463"/>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人工成本</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劳动保险</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服装</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易耗品</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保险费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税金</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888"/>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Borders>
              <w:top w:val="single" w:color="auto" w:sz="4" w:space="0"/>
              <w:bottom w:val="single" w:color="auto" w:sz="4" w:space="0"/>
              <w:right w:val="single" w:color="auto" w:sz="4" w:space="0"/>
            </w:tcBorders>
            <w:tcW w:w="95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735"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27"/>
        </w:trPr>
        <w:tc>
          <w:tcPr>
            <w:gridSpan w:val="3"/>
            <w:tcBorders>
              <w:top w:val="single" w:color="auto" w:sz="4" w:space="0"/>
              <w:bottom w:val="single" w:color="auto" w:sz="4" w:space="0"/>
              <w:right w:val="single" w:color="auto" w:sz="4" w:space="0"/>
            </w:tcBorders>
            <w:tcW w:w="3468" w:type="dxa"/>
            <w:vAlign w:val="center"/>
            <w:textDirection w:val="lrTb"/>
            <w:noWrap w:val="false"/>
          </w:tcPr>
          <w:p>
            <w:pPr>
              <w:ind w:firstLine="938"/>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合计 </w:t>
            </w:r>
            <w:r/>
          </w:p>
        </w:tc>
        <w:tc>
          <w:tcPr>
            <w:gridSpan w:val="8"/>
            <w:tcBorders>
              <w:top w:val="single" w:color="auto" w:sz="4" w:space="0"/>
              <w:left w:val="single" w:color="auto" w:sz="4" w:space="0"/>
              <w:bottom w:val="single" w:color="auto" w:sz="4" w:space="0"/>
            </w:tcBorders>
            <w:tcW w:w="5918"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p>
        </w:tc>
      </w:tr>
    </w:tbl>
    <w:p>
      <w:pPr>
        <w:pStyle w:val="88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供应商：（单位盖章）</w:t>
      </w:r>
      <w:r/>
    </w:p>
    <w:p>
      <w:pPr>
        <w:pStyle w:val="88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8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pStyle w:val="887"/>
        <w:ind w:firstLine="511"/>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1、报价表包含投标单位各项成本核算和投入的成本明细（以整个服务期限计算），合计金额应与开标一览表投标总价一致；否则，以开标一览表为准。</w:t>
      </w:r>
      <w:r/>
    </w:p>
    <w:p>
      <w:pPr>
        <w:pStyle w:val="887"/>
        <w:ind w:firstLine="511"/>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2、上述项的人员成本报价须包含但不限于人员工资、社保费用等，且所有人员的工资、社保待遇不得低于本项目服务所在地目前人均最低工资标准和社保缴费标准，否则其投标文件将被拒绝。</w:t>
      </w:r>
      <w:r/>
    </w:p>
    <w:p>
      <w:pPr>
        <w:pStyle w:val="887"/>
        <w:ind w:firstLine="511"/>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3、相关条目举例：人工成本、劳动保险、服装等各项，各投标人根据本项目要求和投标单位自身情况不限于此，可自行添加。</w:t>
      </w:r>
      <w:r/>
    </w:p>
    <w:p>
      <w:pPr>
        <w:pStyle w:val="9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5、关于资格文件的声明函</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愿就由贵公司组织实施的编号为号的招标活动进行投标。本公司所提交的投标文件中所有关于投标资格的文件、证明和陈述均是真实的、准确的和有效的。若与事实情况不符，本公司愿意承担由此而产生的一切后果。</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投标人（单位盖章）：</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法定代表人或代理人（签字或盖章）：</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6、投标人情况表</w:t>
      </w:r>
      <w:r/>
    </w:p>
    <w:tbl>
      <w:tblPr>
        <w:tblStyle w:val="878"/>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7"/>
        <w:gridCol w:w="1287"/>
        <w:gridCol w:w="50"/>
        <w:gridCol w:w="463"/>
        <w:gridCol w:w="1112"/>
        <w:gridCol w:w="148"/>
        <w:gridCol w:w="1620"/>
        <w:gridCol w:w="973"/>
        <w:gridCol w:w="245"/>
        <w:gridCol w:w="1494"/>
      </w:tblGrid>
      <w:tr>
        <w:trPr>
          <w:jc w:val="center"/>
          <w:trHeight w:val="567"/>
        </w:trPr>
        <w:tc>
          <w:tcPr>
            <w:tcW w:w="220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tc>
        <w:tc>
          <w:tcPr>
            <w:gridSpan w:val="3"/>
            <w:tcW w:w="180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26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2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tc>
        <w:tc>
          <w:tcPr>
            <w:tcW w:w="149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220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企业地址</w:t>
            </w:r>
            <w:r/>
          </w:p>
        </w:tc>
        <w:tc>
          <w:tcPr>
            <w:gridSpan w:val="3"/>
            <w:tcW w:w="180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26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注册资金</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2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p>
        </w:tc>
        <w:tc>
          <w:tcPr>
            <w:tcW w:w="149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220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单位简历及机构</w:t>
            </w:r>
            <w:r/>
          </w:p>
        </w:tc>
        <w:tc>
          <w:tcPr>
            <w:gridSpan w:val="9"/>
            <w:tcW w:w="73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220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单位优势及特长</w:t>
            </w:r>
            <w:r/>
          </w:p>
        </w:tc>
        <w:tc>
          <w:tcPr>
            <w:gridSpan w:val="9"/>
            <w:tcW w:w="73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2207" w:type="dxa"/>
            <w:vAlign w:val="center"/>
            <w:vMerge w:val="restart"/>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单位概况</w:t>
            </w:r>
            <w:r/>
          </w:p>
        </w:tc>
        <w:tc>
          <w:tcPr>
            <w:gridSpan w:val="2"/>
            <w:tcW w:w="133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职工总数</w:t>
            </w:r>
            <w:r/>
          </w:p>
        </w:tc>
        <w:tc>
          <w:tcPr>
            <w:gridSpan w:val="2"/>
            <w:tcW w:w="157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3"/>
            <w:tcW w:w="274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其中：中级职称人员</w:t>
            </w:r>
            <w:r/>
          </w:p>
        </w:tc>
        <w:tc>
          <w:tcPr>
            <w:gridSpan w:val="2"/>
            <w:tcW w:w="173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2207"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W w:w="7392"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资产总计：  万元；资产净值：  万元；股东权益：   万元</w:t>
            </w:r>
            <w:r/>
          </w:p>
        </w:tc>
      </w:tr>
      <w:tr>
        <w:trPr>
          <w:jc w:val="center"/>
          <w:trHeight w:val="567"/>
        </w:trPr>
        <w:tc>
          <w:tcPr>
            <w:tcW w:w="2207"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W w:w="7392"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营业面积（含厂房面积）：    ㎡，产权：    ㎡ / 承租：    ㎡</w:t>
            </w:r>
            <w:r/>
          </w:p>
        </w:tc>
      </w:tr>
      <w:tr>
        <w:trPr>
          <w:jc w:val="center"/>
          <w:trHeight w:val="567"/>
        </w:trPr>
        <w:tc>
          <w:tcPr>
            <w:tcW w:w="2207"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W w:w="7392"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销（零）售额：2024年    万元；    年：    万元</w:t>
            </w:r>
            <w:r/>
          </w:p>
        </w:tc>
      </w:tr>
      <w:tr>
        <w:trPr>
          <w:jc w:val="center"/>
          <w:trHeight w:val="567"/>
        </w:trPr>
        <w:tc>
          <w:tcPr>
            <w:tcW w:w="2207"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9"/>
            <w:tcW w:w="7392"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实现利润：2024年    万元；    年：    万元</w:t>
            </w:r>
            <w:r/>
          </w:p>
        </w:tc>
      </w:tr>
      <w:tr>
        <w:trPr>
          <w:jc w:val="center"/>
          <w:trHeight w:val="567"/>
        </w:trPr>
        <w:tc>
          <w:tcPr>
            <w:tcW w:w="2207"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主营项目</w:t>
            </w:r>
            <w:r/>
          </w:p>
        </w:tc>
        <w:tc>
          <w:tcPr>
            <w:gridSpan w:val="8"/>
            <w:tcW w:w="6105" w:type="dxa"/>
            <w:vAlign w:val="center"/>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2207" w:type="dxa"/>
            <w:vAlign w:val="center"/>
            <w:textDirection w:val="lrTb"/>
            <w:noWrap w:val="false"/>
          </w:tcPr>
          <w:p>
            <w:pPr>
              <w:pStyle w:val="879"/>
              <w:ind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其他情况说明</w:t>
            </w:r>
            <w:r/>
          </w:p>
        </w:tc>
        <w:tc>
          <w:tcPr>
            <w:gridSpan w:val="9"/>
            <w:tcW w:w="7392" w:type="dxa"/>
            <w:vAlign w:val="center"/>
            <w:textDirection w:val="lrTb"/>
            <w:noWrap w:val="false"/>
          </w:tcPr>
          <w:p>
            <w:pPr>
              <w:pStyle w:val="879"/>
              <w:ind w:firstLine="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（注：如有较大数额罚款须如实说明，否则一经查实将按《中华人民共和国政府采购法》第七十七条的相关办法处理）</w:t>
            </w:r>
            <w:r/>
          </w:p>
        </w:tc>
      </w:tr>
    </w:tbl>
    <w:p>
      <w:pPr>
        <w:spacing w:line="360" w:lineRule="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、中小企业声明函</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本企业对上述声明内容的真实性负责。如有虚假，将依法承担相应责任。</w:t>
      </w:r>
      <w:r/>
    </w:p>
    <w:p>
      <w:pPr>
        <w:ind w:firstLine="492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企业名称（盖章）：</w:t>
      </w:r>
      <w:r/>
    </w:p>
    <w:p>
      <w:pPr>
        <w:ind w:firstLine="4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w:t>
      </w:r>
      <w:r/>
    </w:p>
    <w:p>
      <w:pPr>
        <w:ind w:firstLine="480"/>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若供应商未在此函中对（中型企业、小型企业、微型企业）明确选择，视为非中小企业，不享受中小企业扶持政策；</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5、中标供应商为中小企业的，《中小企业声明函》将随中标结果同时公告。</w:t>
      </w: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残疾人福利性单位声明函</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9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投标人（单位盖章）：</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法定代表人或代理人（签字或盖章）：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886"/>
        <w:ind w:lef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第四章 采购需求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苏州正杰招投标咨询服务有限公司受苏州市振华中学校委托，对其要求采购的学校安保消控服务项目进行公开招标，欢迎符合资格条件和具备履约能力的供应商单位前来参与。</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一、采购编号：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JSZC-320508-SZZJ-G2025-0062</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二、采购需求（内容及要求）：</w:t>
      </w:r>
      <w:bookmarkStart w:id="6" w:name="_Toc13642116"/>
      <w:r/>
      <w:bookmarkEnd w:id="6"/>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人员配备及岗位要求：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为进一步健全学校安全风险防控体系，着力打造高质量平安校园，高效落实安全防范工作，有效维护师生员工安全，建设平安校园。学校拟采购保安</w:t>
      </w:r>
      <w:r>
        <w:rPr>
          <w:rFonts w:hint="eastAsia" w:ascii="宋体" w:hAnsi="宋体" w:eastAsia="宋体" w:cs="宋体"/>
          <w:color w:val="000000" w:themeColor="text1"/>
          <w:sz w:val="24"/>
          <w:highlight w:val="none"/>
          <w14:textFill>
            <w14:solidFill>
              <w14:schemeClr w14:val="tx1"/>
            </w14:solidFill>
          </w14:textFill>
        </w:rPr>
        <w:t xml:space="preserve">最低服务人员不少于</w:t>
      </w:r>
      <w:r>
        <w:rPr>
          <w:rFonts w:hint="eastAsia" w:ascii="宋体" w:hAnsi="宋体" w:eastAsia="宋体" w:cs="宋体"/>
          <w:color w:val="000000" w:themeColor="text1"/>
          <w:sz w:val="24"/>
          <w:highlight w:val="none"/>
          <w14:textFill>
            <w14:solidFill>
              <w14:schemeClr w14:val="tx1"/>
            </w14:solidFill>
          </w14:textFill>
        </w:rPr>
        <w:t xml:space="preserve">19名</w:t>
      </w:r>
      <w:r>
        <w:rPr>
          <w:rFonts w:hint="eastAsia" w:ascii="宋体" w:hAnsi="宋体" w:eastAsia="宋体" w:cs="宋体"/>
          <w:color w:val="000000" w:themeColor="text1"/>
          <w:sz w:val="24"/>
          <w:highlight w:val="none"/>
          <w14:textFill>
            <w14:solidFill>
              <w14:schemeClr w14:val="tx1"/>
            </w14:solidFill>
          </w14:textFill>
        </w:rPr>
        <w:t xml:space="preserve">，消控室值班</w:t>
      </w:r>
      <w:r>
        <w:rPr>
          <w:rFonts w:hint="eastAsia" w:ascii="宋体" w:hAnsi="宋体" w:eastAsia="宋体" w:cs="宋体"/>
          <w:color w:val="000000" w:themeColor="text1"/>
          <w:sz w:val="24"/>
          <w:highlight w:val="none"/>
          <w14:textFill>
            <w14:solidFill>
              <w14:schemeClr w14:val="tx1"/>
            </w14:solidFill>
          </w14:textFill>
        </w:rPr>
        <w:t xml:space="preserve">最低服务人员不少于</w:t>
      </w:r>
      <w:r>
        <w:rPr>
          <w:rFonts w:hint="eastAsia" w:ascii="宋体" w:hAnsi="宋体" w:eastAsia="宋体" w:cs="宋体"/>
          <w:color w:val="000000" w:themeColor="text1"/>
          <w:sz w:val="24"/>
          <w:highlight w:val="none"/>
          <w14:textFill>
            <w14:solidFill>
              <w14:schemeClr w14:val="tx1"/>
            </w14:solidFill>
          </w14:textFill>
        </w:rPr>
        <w:t xml:space="preserve">8名。</w:t>
      </w:r>
      <w:r/>
    </w:p>
    <w:tbl>
      <w:tblPr>
        <w:tblStyle w:val="878"/>
        <w:tblW w:w="10359" w:type="dxa"/>
        <w:jc w:val="center"/>
        <w:tblLayout w:type="fixed"/>
        <w:tblCellMar>
          <w:left w:w="0" w:type="dxa"/>
          <w:top w:w="0" w:type="dxa"/>
          <w:right w:w="0" w:type="dxa"/>
          <w:bottom w:w="0" w:type="dxa"/>
        </w:tblCellMar>
        <w:tblLook w:val="04A0" w:firstRow="1" w:lastRow="0" w:firstColumn="1" w:lastColumn="0" w:noHBand="0" w:noVBand="1"/>
      </w:tblPr>
      <w:tblGrid>
        <w:gridCol w:w="661"/>
        <w:gridCol w:w="2282"/>
        <w:gridCol w:w="2337"/>
        <w:gridCol w:w="5079"/>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p>
        </w:tc>
      </w:tr>
      <w:tr>
        <w:trPr>
          <w:jc w:val="center"/>
          <w:trHeight w:val="3751"/>
        </w:trPr>
        <w:tc>
          <w:tcPr>
            <w:tcBorders>
              <w:top w:val="single" w:color="000000" w:sz="4" w:space="0"/>
              <w:left w:val="single" w:color="000000" w:sz="4" w:space="0"/>
              <w:right w:val="single" w:color="000000" w:sz="4" w:space="0"/>
            </w:tcBorders>
            <w:tcMar>
              <w:left w:w="15" w:type="dxa"/>
              <w:top w:w="15" w:type="dxa"/>
              <w:right w:w="15" w:type="dxa"/>
            </w:tcMar>
            <w:tcW w:w="6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22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保安人员（含保安队长1名）</w:t>
            </w:r>
            <w:r/>
          </w:p>
        </w:tc>
        <w:tc>
          <w:tcPr>
            <w:tcBorders>
              <w:top w:val="single" w:color="000000" w:sz="4" w:space="0"/>
              <w:left w:val="single" w:color="000000" w:sz="4" w:space="0"/>
              <w:right w:val="single" w:color="000000" w:sz="4" w:space="0"/>
            </w:tcBorders>
            <w:tcMar>
              <w:left w:w="15" w:type="dxa"/>
              <w:top w:w="15" w:type="dxa"/>
              <w:right w:w="15" w:type="dxa"/>
            </w:tcMar>
            <w:tcW w:w="2337"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50周岁及以下或满足相关文件要求，其中要求一半以上人员年龄在45周岁及以下，需持有保安员证书，体型无明显缺陷，外貌端正；遵纪守法，无不良记录；服从学校管理，有工作责任心。言谈举止文明，礼貌待人。驻校服务。同时提供给学校每一位保安（含保安队长）的派出所身份比对审核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负责校园24小时全天候校园安全保卫工作，包括：保安人员会熟练使用学校所有技防、物防设备，做好门卫管理、校园防火，防盗，治安管理，车辆（汽车、自行车、电瓶车等）管理，夜间安全巡视，日间安全巡查，人员进出管理等涉及校园安全管理的工作，维持校园秩序，维护校园稳定，及时发现和消除安全隐患,确保学校师生生命财产安全事宜等；</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单位配备提供对讲机（1台/人）、橡胶警棍（1支/人）、强光电筒（1支/人）、防暴头盔（1顶/人）、防暴钢叉4套、防暴盾牌（1副/人）、防刺背心（1套/人）、防割手套（1副/人）、催泪喷射器6套等秩序维护用品，损坏时及时更换。</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（3）配合学校做好临时性紧急事件处理与重大活动的安全秩序保障。根据实际需要，可以临时调配保安人员，加强安保力量。</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（4）遵守学校制定的各种安全工作制度、预案及管理办法等。在日常管理中采用信息化管理手段，配合学校做好临时性紧急事件处理与重大活动的安全秩序保障。</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（5）要求法定工作日学生在校期间，每个班次6人在岗。</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消控室服务人员</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（含消控队长1名）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年龄55周岁以下，性别不限。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工作时间要求：24小时双人双岗。</w:t>
            </w:r>
            <w:r/>
          </w:p>
        </w:tc>
      </w:tr>
    </w:tbl>
    <w:p>
      <w:pPr>
        <w:ind w:firstLine="480"/>
        <w:jc w:val="left"/>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消控室值班人员</w:t>
      </w:r>
      <w:r>
        <w:rPr>
          <w:rFonts w:hint="eastAsia" w:ascii="宋体" w:hAnsi="宋体" w:eastAsia="宋体" w:cs="宋体"/>
          <w:color w:val="000000" w:themeColor="text1"/>
          <w:sz w:val="24"/>
          <w:szCs w:val="24"/>
          <w:highlight w:val="none"/>
          <w14:textFill>
            <w14:solidFill>
              <w14:schemeClr w14:val="tx1"/>
            </w14:solidFill>
          </w14:textFill>
        </w:rPr>
        <w:t xml:space="preserve">必须</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持有</w:t>
      </w:r>
      <w:r>
        <w:rPr>
          <w:rFonts w:hint="eastAsia" w:ascii="宋体" w:hAnsi="宋体" w:eastAsia="宋体" w:cs="宋体"/>
          <w:color w:val="000000" w:themeColor="text1"/>
          <w:sz w:val="24"/>
          <w:szCs w:val="24"/>
          <w:highlight w:val="none"/>
          <w14:textFill>
            <w14:solidFill>
              <w14:schemeClr w14:val="tx1"/>
            </w14:solidFill>
          </w14:textFill>
        </w:rPr>
        <w:t xml:space="preserve">国家职业资格四级</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建（构）筑物消防员证或消防设施操作员证上岗，保安人员要求年龄50周岁及以下或满足相关文件要求，其中要求一半以上人员年龄在45周岁及以下，需持有保安员证书，投标文件中提供证书复印件，未提供视为非实质性响应。</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1.服务内容</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1.1保安服务内容：</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负责校园24小时全天候校园安全保卫工作，包括：门卫管理、校园防火、防盗、治安管理，夜间安全巡视，车辆（汽车、自行车、电瓶车等）管理、人员进出管理等涉及校园安全管理的工作，维持校园秩序，维护校园稳定，及时发现和消除安全隐患,确保学校师生生命财产安全事宜等；</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提供对讲机（1台/人）、橡胶警棍（1支/人）、强光电筒（1支/人）、防暴头盔（1顶/人）、防暴钢叉4套、防暴盾牌（1副/人）、防刺背心（1套/人）、防割手套（1副/人）、催泪喷射器6套等秩序维护用品，损坏时及时更换。等秩序维护用品。</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（3）配合学校做好临时性紧急事件处理与重大活动的安全秩序保障。根据实际需要，可以临时调配保安人员，加强安保力量。</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（4）遵守学校制定的各种安全工作制度、预案及管理办法等。在日常管理中采用信息化管理手段，配合学校做好临时性紧急事件处理与重大活动的安全秩序保障。</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1.2保安服务标准：</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（1）保安人员须按照国家规定持保安证上岗，穿戴统一的保安服装、佩带统一的保安标志并佩带胸卡；</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学校北门、西门24小时门卫管理。校园实行全封闭管理，严禁闲杂人等进入；在岗期间应坚守岗位、尽职尽责，不得擅离职守，不得闲聊、打闹，不得干私活，不得看书、看报，不得下棋、打牌，不得会私客，不得酗酒、抽烟、打瞌睡；</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（3）上学放学高峰时段对进出人员及车辆的引导和秩序维护。</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（4）校园车辆秩序的维护：包括负责校门及周边和校园内部车辆的指挥，确保车辆有序停放。</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（6）受理校区内各类纠纷和治安案件，配合校方对违规事件的调查，协助公安机关对案件的排查。</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（7）做好门卫值班的日常台账工作，做好每天的交接班工作。</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（8）校园突发事件处置、灾害预防、火灾扑救，发现和制止校内暴力事件，随时准备提供紧急救助。做好日常消防的台账工作。</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（9）校园公共部位安全隐患检查、排除及时上报，违规纠正，有针对性地开展安全教育和提示。</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（10）与校方共同组建义务消防队</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（11）定期打扫值班室，包括门窗保洁，窗台保洁，地面保洁，值班室物品摆放整齐，值班室内及周边无垃圾、无烟头。</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1.1.3消防控制室值班人员服务标准：</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消防控制室值班操作人员应通过消防行业特有工种职业技能鉴定，持有建（构）筑物消防员五级证或以上，能熟练操作消防设施。消防控制室、具有消防配电功能的配电室、消防水泵房、防排烟机房等重要的消防设施操作控制场所。确保火灾情况下有人能按操作规程及时、正确操作建筑消防设施。并能熟练操作消防设施并定期进行演练；</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（2）消防控制室必须严格实行每日24小时双人双岗专人值班制度，每班不应少于2人，每班工作时间不应超过8小时；</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（3）消防控制室值班人员对火灾报警器进行日检查，交接班时应当填写《消防控制室值班记录表》；</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（4）消防控制室值班人员值班期间每2小时记录一次消防控制室内消防设备的运行情况，及时记录消防设施的火警及故障情况；</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消防控制室值班操作人员接到火灾报警信号后应当立即以最快方式进行处置，立即确认火灾报警联动控制开关处于自动状态，同时拨打119报警，立即启动单位内部应急疏散和灭火预案，并应同时报告单位负责人。</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1.3其他要求：</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（1）投标单位必须在投标文件中提供完整、详细、合理、真实的服务方案，须对招标文件中提出的全部要求作出承诺，如其中某些条款不响应时，应在响应文件中逐条列出，未列出的视同响应；</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（2）中标单位所需的全部工作装备和消耗材料均自行承担。</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关于专用设备：中标单位须提供一定的专业设备驻校使用，并及时更新，以保证正常使用。服务人员除了可以使用学校配备的办公场所、物防设备，还应当配备：对讲机（不少于3部）、强光电筒、巡更机等。</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中标单位管理不善，造成秩序维护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（5）投标单位必须按照《劳动法》及苏州市的有关规定配置工作人员数量，并支付工资、国假加班费和交纳正常的社会保险（最低工资标准根据采购单位所在地标准执行），不得安排工作人员超时限加班。</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（6）采购单位提供办公休息所需的办公场所、生活设施等（如桌椅凳、橱柜、电扇等），但故意损坏、恶意使用或丢失的需全额赔偿。</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（7）采购单位委派专门部门负责中标单位日常工作的监管、协调、考核。</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（8）中标单位配合学校后勤部门做好学校后勤保障工作。</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（9）采购单位与派驻人员不发生任何劳动和雇佣关系，派驻人员由中标单位自行管理，中标单位和派驻人员应遵守安全操作规章制度，若发生人身伤害等工伤事故，由中标单位自负，与本校无涉。</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投标单位可根据单位需要勘察现场，所发生的费用由投标单位自己承担，投标单位中标后，不得以不完全了解现场情况或其它任何理由向采购单位提出任何索赔或追加的要求，对此采购单位不承担任何责任并将不作任何答复与考虑。</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（11）考核办法：服从学校管理，检查中发现礼节礼貌、仪表仪容、设备设施、工作质量、服务态度、执行制度等方面存在的问题，依据校方相关管理规定进行处罚。</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（12）关于解除合同</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1）若中标单位在综合服务管理期间，严重违反校方相关管理规定且拒不整</w:t>
      </w:r>
      <w:r>
        <w:rPr>
          <w:rFonts w:hint="eastAsia" w:ascii="宋体" w:hAnsi="宋体" w:eastAsia="宋体" w:cs="宋体"/>
          <w:color w:val="000000" w:themeColor="text1"/>
          <w:sz w:val="24"/>
          <w:szCs w:val="24"/>
          <w:highlight w:val="none"/>
          <w14:textFill>
            <w14:solidFill>
              <w14:schemeClr w14:val="tx1"/>
            </w14:solidFill>
          </w14:textFill>
        </w:rPr>
        <w:t xml:space="preserve">改的，校方可解除合同。安保服务依据附件《保安人员考核细则》和《学校消防控制室服务考核细则&gt;月度考核的细则要求，填写《苏州市振华中学校保安及消控室人员每月管理检查表》，每月保安和消控室服务考核不低于90分，服务费全额给付；每月考核成绩低于90分，每下降1分，扣除服务费的0.2%；如当月得分不满80分(满分100分)，应按照甲方要求进行整改，连续两个月得分不满80分（满分100分）的，校方可解除保安公司合同。2）将承包的综合服务转包他人。在服务期间中标单位工作人员发生的工伤及一切安全责任事故,均由中标单位承担。</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报价应包括：包括在承包期内需要的服务管理内容、餐费、服装、胸卡、办公设备、巡检器材、各种税费、人员费、加班费、福利费、教育费、保险费、劳保、维护、利润、代理服务费、其它临时性杂项应急服务费用、政策性文件规定及合同包含的所有风险、责任等各项应有费用。乙方应将所有费用在合同实施期间因市场变化因素而变动进行调整的情况包含在内，甲方不再为此承担任何费用和责任，除非因特殊原因并经双方协商同意，乙方不得再要求追加任何费用。</w:t>
      </w:r>
      <w:r/>
    </w:p>
    <w:p>
      <w:pPr>
        <w:ind w:firstLine="480"/>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四、凡涉及本项目的补充说明和修改，均以苏州市政府采购网上发布的信息为准。</w:t>
      </w:r>
      <w:r/>
    </w:p>
    <w:p>
      <w:pPr>
        <w:jc w:val="center"/>
        <w:spacing w:line="360" w:lineRule="auto"/>
        <w:tabs>
          <w:tab w:val="left" w:pos="709"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第五章 合同主要条款</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1、根据《中华人民共和国政府采购法》《中华人民共和国民法典》等相关法律法规的规定、中正建设工程管理（苏州）有限公司采购编号为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的招标文件及该文件的响应文件和中标通知书，甲乙双方就此次成交的学校安保消控服务项目的购销事宜（以下简称“本项目”），经友好协商一致，签订本合同书，以兹共同遵守。根据苏州市政府采购招标编号</w:t>
      </w:r>
      <w:r>
        <w:rPr>
          <w:rFonts w:hint="eastAsia" w:ascii="宋体" w:hAnsi="宋体" w:eastAsia="宋体" w:cs="宋体"/>
          <w:color w:val="000000" w:themeColor="text1"/>
          <w:spacing w:val="-86"/>
          <w:sz w:val="24"/>
          <w:highlight w:val="none"/>
          <w14:textFill>
            <w14:solidFill>
              <w14:schemeClr w14:val="tx1"/>
            </w14:solidFill>
          </w14:textFill>
        </w:rPr>
        <w:t xml:space="preserve"> </w:t>
      </w:r>
      <w:r>
        <w:rPr>
          <w:rFonts w:hint="eastAsia" w:ascii="宋体" w:hAnsi="宋体" w:eastAsia="宋体" w:cs="宋体"/>
          <w:color w:val="000000" w:themeColor="text1"/>
          <w:spacing w:val="5"/>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84"/>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号招标文件及该文件的投标文件和中标通知书，甲乙双方就此次中标的</w:t>
      </w:r>
      <w:r>
        <w:rPr>
          <w:rFonts w:hint="eastAsia" w:ascii="宋体" w:hAnsi="宋体" w:eastAsia="宋体" w:cs="宋体"/>
          <w:color w:val="000000" w:themeColor="text1"/>
          <w:spacing w:val="6"/>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88"/>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项目事宜，签订本合同书。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2、乙方负责的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服务项目，服务时间：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。在协议有效期内一方不得擅自变更或中止此项协议，如未经双方同意，擅自变更或中止此项的一方要负违约责任。此项协议需终止或续签，应在协议期内提前半个月通知对方。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3、下列文件为本合同不可分割部分：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 1 \* GB3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①</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成交通知书；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 2 \* GB3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②</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乙方的响应文件；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 3 \* GB3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③</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乙方在招投标过程中所作的其它承诺、声明、书面澄清等；</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 4 \* GB3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④</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采购文件及其附件；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 5 \* GB3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⑤</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合同附件。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以上与本合同具有同等法律效力。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4、服务内容：详见采购文件。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5、服务时间：详见采购文件。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6、服务费及付款办法：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6.1乙方合同金额为人民币（大写）</w:t>
      </w:r>
      <w:r>
        <w:rPr>
          <w:rFonts w:hint="eastAsia" w:ascii="宋体" w:hAnsi="宋体" w:eastAsia="宋体" w:cs="宋体"/>
          <w:color w:val="000000" w:themeColor="text1"/>
          <w:sz w:val="24"/>
          <w:highlight w:val="none"/>
          <w:u w:val="single"/>
          <w14:textFill>
            <w14:solidFill>
              <w14:schemeClr w14:val="tx1"/>
            </w14:solidFill>
          </w14:textFill>
        </w:rPr>
        <w:t xml:space="preserve">                   ，（小写）￥               。</w:t>
      </w:r>
      <w:r>
        <w:rPr>
          <w:rFonts w:hint="eastAsia" w:ascii="宋体" w:hAnsi="宋体" w:eastAsia="宋体" w:cs="宋体"/>
          <w:color w:val="000000" w:themeColor="text1"/>
          <w:sz w:val="24"/>
          <w:highlight w:val="none"/>
          <w14:textFill>
            <w14:solidFill>
              <w14:schemeClr w14:val="tx1"/>
            </w14:solidFill>
          </w14:textFill>
        </w:rPr>
        <w:t xml:space="preserve">以上价格应包括在承包期内完成服务内容所需要的一切费用，包括但不限于人工（包括工资、奖金、社保、法定节假日加班费等费用）、专用设备、工具、易耗材、办公设备、巡检器材、服装、胸卡、通讯、保险、各种税费、利润及合同包含的所有风险、责任等的费用。（国家政策性调整及相关文件规定除外）投标报价为最终报价，除非因特殊原因并经双方协商同意，乙方不得再要求追加任何费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6.2合同价款的支付及付款方式：</w:t>
      </w:r>
      <w:r>
        <w:rPr>
          <w:rFonts w:hint="eastAsia" w:ascii="宋体" w:hAnsi="宋体" w:eastAsia="宋体" w:cs="宋体"/>
          <w:color w:val="000000" w:themeColor="text1"/>
          <w:sz w:val="24"/>
          <w:highlight w:val="none"/>
          <w14:textFill>
            <w14:solidFill>
              <w14:schemeClr w14:val="tx1"/>
            </w14:solidFill>
          </w14:textFill>
        </w:rPr>
        <w:t xml:space="preserve">合同签订后15天内，甲方支付合同金额的30%作为预付款，</w:t>
      </w:r>
      <w:r>
        <w:rPr>
          <w:rFonts w:hint="eastAsia" w:ascii="宋体" w:hAnsi="宋体" w:eastAsia="宋体" w:cs="宋体"/>
          <w:color w:val="000000" w:themeColor="text1"/>
          <w:sz w:val="24"/>
          <w:highlight w:val="none"/>
          <w14:textFill>
            <w14:solidFill>
              <w14:schemeClr w14:val="tx1"/>
            </w14:solidFill>
          </w14:textFill>
        </w:rPr>
        <w:t xml:space="preserve">在签订合同时，供应商明确表示无需预付款，采购人可以不用支付。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（1）消控室监控服务：甲方对乙方的服务工作进行考核（考核标准详见合同附件），甲方根据每月考核结果</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每三个月</w:t>
      </w:r>
      <w:r>
        <w:rPr>
          <w:rFonts w:hint="eastAsia" w:ascii="宋体" w:hAnsi="宋体" w:eastAsia="宋体" w:cs="宋体"/>
          <w:color w:val="000000" w:themeColor="text1"/>
          <w:sz w:val="24"/>
          <w:highlight w:val="none"/>
          <w14:textFill>
            <w14:solidFill>
              <w14:schemeClr w14:val="tx1"/>
            </w14:solidFill>
          </w14:textFill>
        </w:rPr>
        <w:t xml:space="preserve">支付服务费用。</w:t>
      </w:r>
      <w:r>
        <w:rPr>
          <w:rFonts w:hint="eastAsia" w:ascii="宋体" w:hAnsi="宋体" w:eastAsia="宋体" w:cs="宋体"/>
          <w:color w:val="000000" w:themeColor="text1"/>
          <w:sz w:val="24"/>
          <w:highlight w:val="none"/>
          <w14:textFill>
            <w14:solidFill>
              <w14:schemeClr w14:val="tx1"/>
            </w14:solidFill>
          </w14:textFill>
        </w:rPr>
        <w:t xml:space="preserve">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三个月</w:t>
      </w:r>
      <w:r>
        <w:rPr>
          <w:rFonts w:hint="eastAsia" w:ascii="宋体" w:hAnsi="宋体" w:eastAsia="宋体" w:cs="宋体"/>
          <w:color w:val="000000" w:themeColor="text1"/>
          <w:sz w:val="24"/>
          <w:highlight w:val="none"/>
          <w14:textFill>
            <w14:solidFill>
              <w14:schemeClr w14:val="tx1"/>
            </w14:solidFill>
          </w14:textFill>
        </w:rPr>
        <w:t xml:space="preserve">的服务费等于应付服务费减去扣款减去均摊预付款。</w:t>
      </w:r>
      <w:r>
        <w:rPr>
          <w:rFonts w:hint="eastAsia" w:ascii="宋体" w:hAnsi="宋体" w:eastAsia="宋体" w:cs="宋体"/>
          <w:color w:val="000000" w:themeColor="text1"/>
          <w:sz w:val="24"/>
          <w:highlight w:val="none"/>
          <w14:textFill>
            <w14:solidFill>
              <w14:schemeClr w14:val="tx1"/>
            </w14:solidFill>
          </w14:textFill>
        </w:rPr>
        <w:t xml:space="preserve">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三个月</w:t>
      </w:r>
      <w:r>
        <w:rPr>
          <w:rFonts w:hint="eastAsia" w:ascii="宋体" w:hAnsi="宋体" w:eastAsia="宋体" w:cs="宋体"/>
          <w:color w:val="000000" w:themeColor="text1"/>
          <w:sz w:val="24"/>
          <w:highlight w:val="none"/>
          <w14:textFill>
            <w14:solidFill>
              <w14:schemeClr w14:val="tx1"/>
            </w14:solidFill>
          </w14:textFill>
        </w:rPr>
        <w:t xml:space="preserve">应付服务费等于中标价总价除以四。甲方付款前，乙方应向甲方提供合法有效且符合甲方要求的发票，乙方未提供上述发票的，甲方有权迟延付款且不承担迟延付款的违约责任。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（2）安保服务：双方</w:t>
      </w:r>
      <w:r>
        <w:rPr>
          <w:rFonts w:hint="eastAsia" w:ascii="宋体" w:hAnsi="宋体" w:eastAsia="宋体" w:cs="宋体"/>
          <w:color w:val="000000" w:themeColor="text1"/>
          <w:sz w:val="24"/>
          <w:highlight w:val="none"/>
          <w14:textFill>
            <w14:solidFill>
              <w14:schemeClr w14:val="tx1"/>
            </w14:solidFill>
          </w14:textFill>
        </w:rPr>
        <w:t xml:space="preserve">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三个月</w:t>
      </w:r>
      <w:r>
        <w:rPr>
          <w:rFonts w:hint="eastAsia" w:ascii="宋体" w:hAnsi="宋体" w:eastAsia="宋体" w:cs="宋体"/>
          <w:color w:val="000000" w:themeColor="text1"/>
          <w:sz w:val="24"/>
          <w:highlight w:val="none"/>
          <w14:textFill>
            <w14:solidFill>
              <w14:schemeClr w14:val="tx1"/>
            </w14:solidFill>
          </w14:textFill>
        </w:rPr>
        <w:t xml:space="preserve">末的20日前结算上季度的费用。双方将上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三个月</w:t>
      </w:r>
      <w:r>
        <w:rPr>
          <w:rFonts w:hint="eastAsia" w:ascii="宋体" w:hAnsi="宋体" w:eastAsia="宋体" w:cs="宋体"/>
          <w:color w:val="000000" w:themeColor="text1"/>
          <w:sz w:val="24"/>
          <w:highlight w:val="none"/>
          <w14:textFill>
            <w14:solidFill>
              <w14:schemeClr w14:val="tx1"/>
            </w14:solidFill>
          </w14:textFill>
        </w:rPr>
        <w:t xml:space="preserve">人员考核情况进行汇总，核对制表，并经双方签字确认，乙方出具合格的发票和经甲、乙双方确认的服务合同履约报告后由甲方向乙方支付，（以实际人员计算）。预付款在</w:t>
      </w:r>
      <w:r>
        <w:rPr>
          <w:rFonts w:hint="eastAsia" w:ascii="宋体" w:hAnsi="宋体" w:eastAsia="宋体" w:cs="宋体"/>
          <w:color w:val="000000" w:themeColor="text1"/>
          <w:sz w:val="24"/>
          <w:highlight w:val="none"/>
          <w14:textFill>
            <w14:solidFill>
              <w14:schemeClr w14:val="tx1"/>
            </w14:solidFill>
          </w14:textFill>
        </w:rPr>
        <w:t xml:space="preserve">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三个月</w:t>
      </w:r>
      <w:r>
        <w:rPr>
          <w:rFonts w:hint="eastAsia" w:ascii="宋体" w:hAnsi="宋体" w:eastAsia="宋体" w:cs="宋体"/>
          <w:color w:val="000000" w:themeColor="text1"/>
          <w:sz w:val="24"/>
          <w:highlight w:val="none"/>
          <w14:textFill>
            <w14:solidFill>
              <w14:schemeClr w14:val="tx1"/>
            </w14:solidFill>
          </w14:textFill>
        </w:rPr>
        <w:t xml:space="preserve">结账中予以扣除。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甲方对乙方的服务工作进行考核，每月考核结果与服务费用挂钩，</w:t>
      </w:r>
      <w:r>
        <w:rPr>
          <w:rFonts w:hint="eastAsia" w:ascii="宋体" w:hAnsi="宋体" w:eastAsia="宋体" w:cs="宋体"/>
          <w:color w:val="000000" w:themeColor="text1"/>
          <w:sz w:val="24"/>
          <w:highlight w:val="none"/>
          <w14:textFill>
            <w14:solidFill>
              <w14:schemeClr w14:val="tx1"/>
            </w14:solidFill>
          </w14:textFill>
        </w:rPr>
        <w:t xml:space="preserve">安保服务依据附件《保安人员考核细则》和《学校消防控制室服务考核细则&gt;月度考核的细则要求，填写《苏州市振华中学校保安及消控室人员每月管理检查表》，每月保安和消控室服务考核不低于90分，本月服务费全额给付；每月考核成绩低于90分，每下降1分，扣除本月服务费的0.2%；如当月得分不满80分(满分100分)，应按照甲方要求进行整改，连续两个月得分不满80分（满分100分）的，校方可解除保安公司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（考核细则另行商定。）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6.3本项目采用数字人民币支付。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6.4乙方要求付款应提供以下资料：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（1）合格的发票。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（2）由甲乙双方签章的《采购合同履行验收报告》。</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6.5付款方式：转账转入乙方指定账户。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乙方开户名称：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银行账号：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数字人民币账号（数币钱包ID）：</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6.6安保服务依据附件《保安人员考核细则》和《学校消防控制室服务考核细则&gt;月度考核的细则要求，填写《苏州市振华中学校保安及消控室人员每月管理检查表》，每月保安和消控室服务考核不低于90分，服务费全额给付；每月考核成绩低于90分，每下降1分，扣除服务费的0.2%；如当月得分不满80分(满分100分)，应按照甲方要求进行整改，连续两个月得分不满80分（满分100分）的，校方可解除保安公司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注：（1）甲方支付合同款项规定的费用外不再承担其它任何费用（包括个人），服务人员的薪金、福利、休假日补贴等由乙方付给，与甲方无关。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（2）确因甲方工作需要，乙方应无条件配合甲方完成一些突击工作。。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7、服务质量与检验：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8、甲、乙双方的责任</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8.1甲方责任：</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（1）为乙方管理部门提供办公用房及通讯设施（1部市内固定电话）；并指定专人作为甲方联系人予以协调工作。加强与乙方勾通，交流情况，互通信息。</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（2）甲方应教育所属人员尊重乙方工作人员的劳动成果，积极配合乙方工作人员履行好合同所规定的职责和义务。</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8.2乙方责任：</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（1）乙方在从事服务工作中应当做到文明工作、安全生产，采取必要的安全防范措施。</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（2）乙方应及时调整不适应工作需求的服务人员及其员工。如甲方认为该员工不能胜任本职工作的，必须调整。</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pStyle w:val="979"/>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（4）乙方需提供涉及学校安全工作的各类应急预案，并按照甲方要求进行修改并执行。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9、违约责任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9.1违约责任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9.2甲方违约责任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（1）在合同生效后，甲方要求解除合同的，应向乙方偿付合同总价款1%的违约金，违约金不足以补偿损失的，乙方有权要求甲方补足。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（2）甲方逾期付款的应按照逾期付款金额的每天万分之四支付逾期付款违约金。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9.3乙方违约责任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1、乙方不能履行合同从而影响甲方按期正常使用的，甲方有权解除合同，乙方向甲方偿付合同总价款1%的违约金，违约金不足以补偿损失的甲方有权要求乙方补足。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9.4不可抗力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10、合同的解除和转让</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10.1合同的解除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10.1.1有下列情形之一，合同一方可以解除合同：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（2）因合同一方违约导致合同不能履行，另一方有权解除合同；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10.1.2有权解除合同的一方，应当在违约事实或不可抗力发生之后三十天内书面通知对方以主张解除合同，合同在书面通知到达对方时解除。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10.2合同的转让</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合同的全部不得转让。</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11、履约保证金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无。</w:t>
      </w:r>
      <w:r/>
    </w:p>
    <w:p>
      <w:pPr>
        <w:pStyle w:val="97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12、</w:t>
      </w:r>
      <w:r>
        <w:rPr>
          <w:rFonts w:hint="eastAsia" w:ascii="宋体" w:hAnsi="宋体" w:eastAsia="宋体" w:cs="宋体"/>
          <w:color w:val="000000" w:themeColor="text1"/>
          <w:szCs w:val="24"/>
          <w:highlight w:val="none"/>
          <w14:textFill>
            <w14:solidFill>
              <w14:schemeClr w14:val="tx1"/>
            </w14:solidFill>
          </w14:textFill>
        </w:rPr>
        <w:t xml:space="preserve">合同生效及其它：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12.1合同经甲乙双方代表签字并加盖公章（或合同章）后即生效。同时须进行网上备案。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13、附则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13.1合同份数：本合同一式陆份，甲乙双方各执贰份，采购监管部门、采购代理机构各执一份，各份具有同等法律效力。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13.2本合同文件使用中文书写、解释和说明。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13.4未尽事宜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本合同未尽事宜应按照《中华人民共和国政府采购法》、《中华人民共和国民法典》之规定解释。</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13.5合同条款如有调整，以实际签订为准。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14、补充条款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合同期间，如遇服务人员发生人身损伤事件（如上下班途中、上班期间），责任由乙方承担，与甲方无关。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第六章 评分方法和评分标准</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一、评分方法：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②投标（响应）报价低于采购项目最高限价45%的，即投标（响应）报价&lt;采购项目最高限价×45%；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③评审小组认定的供应商报价过低、有可能影响产品质量或者不能诚信履约的其他情形。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启动异常低价响应审查后，评审小组应当要求相关供应商在评标现场合理的时间内（线上开评标项目可通过苏采云系统要求提供），提供项目具体成本测算等与报价合理性相关的书面说明及相关证明材料，对响应价格作出解释，由评审小组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审查相关情况应当在评审报告中进行记录。</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二、评分标准：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总分值为100分，评审因素及各比重如下：价格分值占总分值的比重为10％（权重），技术及其他分值占总分值的比重为90％（权重）。</w:t>
      </w:r>
      <w:r/>
    </w:p>
    <w:p>
      <w:pPr>
        <w:ind w:left="-20"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1.1价格分值：10分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第二步：以满足招标文件实质性要求且投标价格最低的投标有效报价为评标基准价，其价格分为满分，即10分。其他有效投标报价得分统一按照下列公式计算：（计算结果均四舍五入保留两位小数）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投标报价得分＝（基准报价/投标报价）×10％×100。</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1.2服务方案：（61分）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（1）服务总体模式与项目管理运作设计方案 8分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服务总体模式清晰，配套措施周全，运作设计合理比较：方案完整，操作性强，得8分；方案简单但操作性强或方案完整但操作性弱，得5分；方案简单，操作性弱，得2分；与本项目无关或未提供的不得分。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（2）服务管理工作具体实施方案33分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（2.1）日常服务标准及措施比较：8分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服务标准及措施完善，操作性强，得8分；服务标准及措施简单但操作性强或服务标准及措施完整但操作性弱，得5分；服务标准及措施简单，操作性弱，得2分；与本项目无关或未提供的不得分；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（2.2）人员配备方案及人员培训方案：8分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人员安排计划详尽，组织管理体系科学，能够有效实施管理工作。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方案详细，可操作性强，得8分；方案简单但操作性强或方案详细但操作性弱，得5分；方案简单，操作性弱，得2分；与本项目无关或未提供的不得分；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（2.3）进退场方案比较：5分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方案详细，可操作性强，得5分；方案简单但操作性强或方案详细但操作性弱，得3分；方案简单，操作性弱，得1分；与本项目无关或未提供的不得分；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（2.4）服务期间的综合协调方案：6分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包括与其他单位、各职能部门的综合协调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方案详细，可操作性强，得6分；方案简单但操作性强或方案详细但操作性弱，得4分；方案简单，操作性弱，得2分；与本项目无关或未提供的不得分。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（2.5）突发事件的应急措施及纠纷处置措施方案：6分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突发事件应急措施，包括但不限于：火灾事件处理措施、特殊事故（情况）措施、消控设备故障应急措施等应急处置预案。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方案详细，可操作性强，得6分；方案简单但操作性强或方案详细但操作性弱，得4分；方案简单，操作性弱，得2分；与本项目无关或未提供的不得分。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（3）内部管理规章制度及考核管理办法 15分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（3.1）内部管理制度：4分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制度完整详实，得4分；制度简单，得2分；制度欠缺，得1分；未提供不得分。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（3.2）安全管理培训制度：4分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制度完整详实，得4分；制度简单，得2分；制度欠缺，得1分；未提供不得分。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（3.3）服务档案管理制度：3分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制度完整详实，得3分；制度简单，得2分；制度欠缺，得1分；未提供不得分。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（3.4）服务人员考核制度及标准：4分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制度及标准完整详实，得4分；制度及标准简单，得2分；制度及标准欠缺，得1分；未提供不得分。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（4）信息化管理方案比较：5分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提供在日常管理中是否采用信息化管理手段，如有采用，请详细列明采用何种信息化系统管理，且须提供能反应投标人在使用该系统的有效截图，评委根据投标单位提供的信息化管理方案及措施完善，操作性强，得5分；方案及措施尚可，操作性一般，得3分；方案及措施一般，操作性差，得1分；与本项目无关或未提供的不得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1.3人员配备情况：（10分）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（1）项目负责人：4分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（1.1）具有高级保安员证书（国家职业资格三级）及以上证书，得1分；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（1.2）具有建构筑物消防员或消防设施操作员证书，得1分；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（1.3）具有5年以上校园安全保卫项目管理经验证明（投标文件中须提供甲方盖章的证明材料），得1分。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（1.4）具有应急救护培训合格证，得1分。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（2）其他保安人员：6分（除项目负责人、保安队长）</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（2.1）拟派的保安员中具有高级保安员证(国家职业资格三级)的有一个得</w:t>
      </w:r>
      <w:r>
        <w:rPr>
          <w:rFonts w:hint="eastAsia" w:ascii="宋体" w:hAnsi="宋体" w:eastAsia="宋体" w:cs="宋体"/>
          <w:color w:val="000000" w:themeColor="text1"/>
          <w:sz w:val="24"/>
          <w:highlight w:val="none"/>
          <w14:textFill>
            <w14:solidFill>
              <w14:schemeClr w14:val="tx1"/>
            </w14:solidFill>
          </w14:textFill>
        </w:rPr>
        <w:t xml:space="preserve">2分，最高6分。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①投标文件中必须提供人员相关证书及社保部门出具的投标单位为其缴纳最新一期的社保证明复印件，同时相关证书还须提供网上查询结果页面完整截图，否则不予认可，对应项不得分。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②以上（1）-（2）项须提供相关职业技能证书在“技能人才评价证书全国联网查询系统”的网上截图，及投标单位为拟派人员缴纳的近期社保证明。</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1.4综合能力比较：（19分）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（1）投标单位履约技术能力比较（4分）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提供有效期内的质量管理体系、环境管理体系认证、职业健康安全管理体系、保安服务管理体系认证证书，每提供一份得1分，最高4分，投标文件中提供证书复印件加盖投标人公章。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（注：须提供有效期内证书扫描件，以及国家认证监督委员会官网查询截图，资料提供不全的不得分）。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（2）投标单位获得过政府部门颁发的荣誉证书或证明。国家级的得5分，省级得3分，市级得1分，区级得0.5分，最高得5分。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提供自2021年1月至今（以合同签订日期为准）由投标单位独立完成的类似项目业绩，每提供一个得2分，最高10分。（证明资料包括项目的合同、对应的发票（发票金额可提供服务期内任意一笔），投标文件中比必须提供证明资料扫描件，否则不予认可，对应项不得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numPr>
          <w:ilvl w:val="0"/>
          <w:numId w:val="2"/>
        </w:num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879"/>
        <w:ind w:firstLine="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三、政府采购政策：</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1、针对中小型企业的评审：</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（1）本项目专门面向中小企业采购。</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（3）本项目采购标的对应的中小企业划型标准规定所属行业为：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Style w:val="985"/>
          <w:rFonts w:hint="eastAsia" w:ascii="宋体" w:hAnsi="宋体" w:eastAsia="宋体" w:cs="宋体"/>
          <w:bCs/>
          <w:color w:val="000000" w:themeColor="text1"/>
          <w:sz w:val="24"/>
          <w:szCs w:val="24"/>
          <w:highlight w:val="none"/>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未按本项目采购标的对应的中小企业划型标准规定所属行业承诺的《中小企业声明函》为无效《中小企业声明函》。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3、针对监狱企业的评审：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根据财政部、司法部《关于政府采购支持监狱企业发展有关问题的通知》（财库〔2014〕68号）的规定，对属于监狱企业的供应商给予评审：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4、针对残疾人福利性单位的评审：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根据财政部、民政部、中国残疾人联合会《关于促进残疾人就业政府采购政策的通知》（财库〔2017〕141号）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w:t>
      </w:r>
      <w:r>
        <w:rPr>
          <w:rFonts w:hint="eastAsia" w:ascii="宋体" w:hAnsi="宋体" w:eastAsia="宋体" w:cs="宋体"/>
          <w:color w:val="000000" w:themeColor="text1"/>
          <w:sz w:val="24"/>
          <w:szCs w:val="24"/>
          <w:highlight w:val="none"/>
          <w14:textFill>
            <w14:solidFill>
              <w14:schemeClr w14:val="tx1"/>
            </w14:solidFill>
          </w14:textFill>
        </w:rPr>
        <w:t xml:space="preserve">，对属于残疾人福利性单位的供应商给予评审：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根据供应商提供的《残疾人福利性单位声明函》。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（2）供应商为残疾人福利性单位的，采购代理机构将随中标结果同时公告其《残疾人福利性单位声明函》，接受社会监督。</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5、上述针对中小型企业、监狱企业和残疾人福利性单位的评审政策不重复享受。</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附件一《考核办法》</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w:t>
      </w:r>
      <w:bookmarkStart w:id="7" w:name="_Hlk182348766"/>
      <w:r>
        <w:rPr>
          <w:rFonts w:hint="eastAsia" w:ascii="宋体" w:hAnsi="宋体" w:eastAsia="宋体" w:cs="宋体"/>
          <w:color w:val="000000" w:themeColor="text1"/>
          <w:sz w:val="24"/>
          <w:highlight w:val="none"/>
          <w14:textFill>
            <w14:solidFill>
              <w14:schemeClr w14:val="tx1"/>
            </w14:solidFill>
          </w14:textFill>
        </w:rPr>
        <w:t xml:space="preserve">学校消防控制室监控服务考核办法</w:t>
      </w:r>
      <w:bookmarkEnd w:id="7"/>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一、考核目的: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为创建安全优美的校园环境,维护学校财物和师生安全,防止各类安全事故发生,有效公平地对服务人员进行考核,特制订本规定。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二、适用范围: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由服务公司委派在我校执行服务任务的服务人员</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三、考核方法: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抽查和发现相结合的方法进行。学校将指定安全处进行每月不少于一次的抽查。依据考核细则进行扣分,下达书面扣分通知书,并可附带提供证言、照片、监控记录、刷卡记录等。扣分记录计入考核细则表中。安保和消控每个单项每月总分都为 100分。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四、学校消防控制室服务考核细则: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1.消控在岗人员未按合同要求配齐,并且未向学校有关部门提出请假同意的,扣除5分/人。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2.在岗人员未按要求全套着装,着装不整齐的,扣除2分/起。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3.在岗值班期间不得抽烟,不得睡觉、躺着、玩手机、听耳机、电话聊天等。违者扣除5分/起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4.未按照合同要求配足配齐物防设备的,扣除5分/次。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5.消控人员损坏装备、破坏公物者,除照价赔偿外,视情节轻重给予扣除 5-10 分/次，情节严重者,当事人解除聘用。并扣除 10-20分/次。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6.消控人员监守自盗者,解除当事人聘用,并按照合同规定追究相关责任。并扣除 20-30分/起。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7.不按时交接班,迟到、早退扣5分/次。人员因事因病不能到岗,应事先办理请假手续,安排其他人员顶替,否则以脱岗处理,扣 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8.学校上课期间及夜间,应该保证按时巡视校园。不按时按线路巡视的扣 5-10分/次。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9.未使用礼貌用语,与师生、访客发生争执、肢体冲突,给学校声誉造成影响的,扣除 10-30分/起。后果严重的当事人解除聘用,并承担相关经济与法律责任,扣除 20-30分/起。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10.人员应服从学校在其职责范围内的工作安排,按时保质保量完成任务,如不执行扣10分/次。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11.人员了解必要的 110 报警常识,抽查发现不懂得使用周界、紧急报警的使用方法的。扣除5分/人次。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12.不了解学校消防设施器材的,不懂得防火灭火常识的。扣除5分/人次。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13.值班台帐不全混乱的,字迹潦草的。如不执行扣5分/次。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14.消防器材每月检查记录台帐缺失的。如不执行扣5分/次。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15.泄露进驻学校内部事务或其他秘密情况、资料的,视情况扣除 20-40分/起。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16.不执行工作制度,造成经济损失的,扣除 5-10分/起。造成严重后果者,当事人解除聘用并按照合同规定追究相关责任,扣除 10-30分/起。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17.履行工作职责范围以内工作时不听从学校工作安排的,不服从分配、不听从指挥的。扣10分/次。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18.值勤时遇到紧急情况(如发生案件、事故等)处置不力、甚至临阵退缩的。并按照合规定追究相关责任,公司扣除 10-40分/起,当值人员立即辞退更换,造成不良后果的依法追其法律责任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19.没有提前通知校方更换人员的,扣 10分/每起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五、处罚办法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安保服务依据附件《保安人员考核细则》和《学校消防控制室服务考核细则&gt;月度考核的细则要求，填写《苏州市振华中学校保安及消控室人员每月管理检查表》，每月保安和消控室服务考核不低于90分，服务费全额给付；每月考核成绩低于90分，每下降1分，扣除服务费的0.2%；如当月得分不满80分(满分100分)，应按照甲方要求进行整改，连续两个月得分不满80分（满分100分）的，校方可解除保安公司合同。</w:t>
      </w:r>
      <w:r/>
    </w:p>
    <w:p>
      <w:pPr>
        <w:ind w:firstLine="480"/>
        <w:spacing w:line="360" w:lineRule="auto"/>
        <w:tabs>
          <w:tab w:val="left" w:pos="426"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w:t>
      </w:r>
      <w:bookmarkStart w:id="8" w:name="_Hlk182348774"/>
      <w:r>
        <w:rPr>
          <w:rFonts w:hint="eastAsia" w:ascii="宋体" w:hAnsi="宋体" w:eastAsia="宋体" w:cs="宋体"/>
          <w:color w:val="000000" w:themeColor="text1"/>
          <w:sz w:val="24"/>
          <w:highlight w:val="none"/>
          <w14:textFill>
            <w14:solidFill>
              <w14:schemeClr w14:val="tx1"/>
            </w14:solidFill>
          </w14:textFill>
        </w:rPr>
        <w:t xml:space="preserve">保安考核方式</w:t>
      </w:r>
      <w:bookmarkEnd w:id="8"/>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以抽查和发现相结合的方法进行。学校将指定部门进行每月不少于二次的抽查。依据考核细则进行扣分，下达书面扣分通知书，并可附带提供证言、照片、监控记录、刷卡记录等。扣分记录计入考核细则表中。每月保安考核总分为100分，直至扣减零分为止。其中乙方未按照招标书内容配齐人员和物品（保安</w:t>
      </w:r>
      <w:r>
        <w:rPr>
          <w:rFonts w:hint="eastAsia" w:ascii="宋体" w:hAnsi="宋体" w:eastAsia="宋体" w:cs="宋体"/>
          <w:color w:val="000000" w:themeColor="text1"/>
          <w:sz w:val="24"/>
          <w:highlight w:val="none"/>
          <w14:textFill>
            <w14:solidFill>
              <w14:schemeClr w14:val="tx1"/>
            </w14:solidFill>
          </w14:textFill>
        </w:rPr>
        <w:t xml:space="preserve">年龄50周岁及以下，</w:t>
      </w:r>
      <w:r>
        <w:rPr>
          <w:rFonts w:hint="eastAsia" w:ascii="宋体" w:hAnsi="宋体" w:eastAsia="宋体" w:cs="宋体"/>
          <w:color w:val="000000" w:themeColor="text1"/>
          <w:sz w:val="24"/>
          <w:highlight w:val="none"/>
          <w14:textFill>
            <w14:solidFill>
              <w14:schemeClr w14:val="tx1"/>
            </w14:solidFill>
          </w14:textFill>
        </w:rPr>
        <w:t xml:space="preserve">需持有保安员证书，同时提供给学校每一位保安（含项目负责人）的派出所身份比对审核材料。中标单位配备提供对讲机（1台/人）、橡胶警棍（1支/人）、强光电筒（1支/人）、防暴头盔（1顶/人）、防暴钢叉4套、防暴盾牌（1副/人）、防刺背心（1套/人）、防割手套（1副/人）、催泪喷射器6套等秩序维护用品，损坏时及时更换。）时，当月考核总分为不满20分。甲方除了责令其改正错误，并写出书面整改报告之外。扣除当月应付保安费用的50%。</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2、保安人员考核细则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（1）保安在岗人员未按合同要求配齐，并且未向学校有关部门提出请假同意的，扣10分/人。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（2）在岗人员未按要求着装，着装不整齐的，扣5分/人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（3）报刊分发不及时，已签收的邮件、包裹发生丢失的，扣5分/起。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（4）在岗值班期间不得抽烟，不得睡觉、躺着、玩手机、听耳机、电话聊天等。违者扣10分/次。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（5）未按照合同要求配足配齐物防设备的，扣10分/次。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（6）保安人员损坏装备、破坏公物者，除照价赔偿外，视情节轻重给予扣5-20分/次。情节严重者，当事人解除聘用，并扣20-40分/次。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（7）保安人员监守自盗者，解除当事人聘用，并按照相关法律规定追究相关责任。并扣除30-40分/起。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（8）不按时交接班，迟到、早退扣10分/次。保安人员因事因病不能到岗，应事先办理请假手续，安排其他人员顶替，否则以脱岗处理，扣20分/次。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（9）管理好工作环境，保持校门口、传达室及周边整洁卫生；劝止车辆停放校门口，保证校门口交通顺畅，不履行的扣5分/次。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（10）.学校上课期间及夜间，应该保证一人按时巡视校园。不按时按线路巡视的扣5-10分/次。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（11）未使用礼貌用语，与师生、访客发生争执、肢体冲突，给学校声誉造成影响的，扣10-30分/起。后果严重的当事人解除聘用，并承担相关经济与法律责任，扣30-50分/起。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（12）认真热情接待来访人员，严格履行登记手续，执行通报制度，不通报或不登记致使校外人员进入校内，扣10分/次，造成严重后果的扣20-50分/次。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（13）严格登记进出车辆，审查带物品出门的车辆和人员，违者扣5分/次，造成严重后果的扣20-50分/次。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（14）保安人员应登记迟到、晚归学生姓名、学号，若遇学生强行进出校门，应及时向学校报告，未报告的扣10分/起。因失职造成学生出走，情节严重的扣30-50分/起。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（15）学校大门开放期间，不得坐在传达室内，必须到室外值勤，发现可疑人员要进行盘问，并阻止无关人员进入校园。未能做到者，扣10分/起。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（16）保安人员应服从学校管理部门在其职责范围内的工作安排，按时保质保量完成任务，如不执行扣10分/次。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保安人员掌握学校所配置的技防设施设备的操作，了解必要的110报警常识，具备应急、防暴的能力，检查发现不会使用学校技防设施设备使用方法的、或没有应急处置能力的，扣除10分/人次；如造成后果的，根据情节和责任，公司及当事人须承担相关经济责任，直至承担法律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（18）不了解学校技防、消防设施器材的，不懂得防火灭火常识的，扣除5分/人次。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（19）值班台账不全、混乱、字迹潦草的，扣10分/次。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（20）消防器材每月检查记录台账缺失的，扣10分/次。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（21）泄露进驻学校内部事务或其他秘密情况、资料的，视情况扣20-50分/起。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（22）不执行工作制度和校方规定、造成经济损失的，除扣5-10分/起外，全额进行经济赔偿；造成严重后果者的除按上述规定处理外，当事人解除聘用，并按照相关法律规定追究相关责任，扣20-30分/起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（23）不听从学校工作安排的，不服从分配、不听从指挥的，扣10分/次。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（24）值勤时遇到紧急情况 ( 如发生案件、事故等 ) 处置不力、甚至临阵退缩的，并按照相关要求规定追究相关责任，扣20-50分/起。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（25）没有提前通知校方而更换人员的，扣5分/每起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（26）工作时间没有督促学校学生进出校门进行刷卡而放行的，扣5分/每起。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3、处罚办法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安保服务依据附件《保安人员考核细则》和《学校消防控制室服务考核细则&gt;月度考核的细则要求，填写《苏州市振华中学校保安及消控室人员每月管理检查表》，每月保安和消控室服务考核不低于90分，本月服务费全额给付；每月考核成绩低于90分，每下降1分，扣除本月服务费的0.2%；如当月得分不满80分(满分100分)，应按照甲方要求进行整改，连续两个月得分不满80分（满分100分）的，校方可解除保安公司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9" w:name="_GoBack"/>
      <w:r/>
      <w:bookmarkEnd w:id="9"/>
      <w:r>
        <w:rPr>
          <w:rFonts w:hint="eastAsia" w:ascii="宋体" w:hAnsi="宋体" w:eastAsia="宋体" w:cs="宋体"/>
          <w:color w:val="000000" w:themeColor="text1"/>
          <w:sz w:val="24"/>
          <w:szCs w:val="24"/>
          <w:highlight w:val="none"/>
          <w14:textFill>
            <w14:solidFill>
              <w14:schemeClr w14:val="tx1"/>
            </w14:solidFill>
          </w14:textFill>
        </w:rPr>
        <w:t xml:space="preserve">（全文完）</w:t>
      </w:r>
      <w:r/>
    </w:p>
    <w:sectPr>
      <w:headerReference w:type="default" r:id="rId9"/>
      <w:footerReference w:type="default" r:id="rId10"/>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Symbol">
    <w:panose1 w:val="05050102010706020507"/>
  </w:font>
  <w:font w:name="楷体">
    <w:panose1 w:val="02010609060101010101"/>
  </w:font>
  <w:font w:name="Tahoma">
    <w:panose1 w:val="020B0604030504040204"/>
  </w:font>
  <w:font w:name="Courier New">
    <w:panose1 w:val="02070309020205020404"/>
  </w:font>
  <w:font w:name="黑体">
    <w:panose1 w:val="02010609060101010101"/>
  </w:font>
  <w:font w:name="仿宋">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right="360"/>
      <w:rPr>
        <w:rFonts w:ascii="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1"/>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fldChar w:fldCharType="begin"/>
                    </w:r>
                    <w:r>
                      <w:instrText xml:space="preserve"> PAGE  \* MERGEFORMAT </w:instrText>
                    </w:r>
                    <w:r>
                      <w:fldChar w:fldCharType="separate"/>
                    </w:r>
                    <w:r>
                      <w:t xml:space="preserve">45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429895" cy="1727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429895" cy="172720"/>
                      </a:xfrm>
                      <a:prstGeom prst="rect">
                        <a:avLst/>
                      </a:prstGeom>
                      <a:noFill/>
                      <a:ln>
                        <a:noFill/>
                        <a:miter/>
                      </a:ln>
                    </wps:spPr>
                    <wps:txbx>
                      <w:txbxContent>
                        <w:p>
                          <w:pPr>
                            <w:rPr>
                              <w:sz w:val="18"/>
                            </w:rPr>
                          </w:pPr>
                          <w:r>
                            <w:rPr>
                              <w:sz w:val="18"/>
                            </w:rPr>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right;mso-position-vertical-relative:text;margin-top:0.0pt;mso-position-vertical:absolute;width:33.9pt;height:13.6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rPr>
        <w:rFonts w:hint="eastAsia" w:eastAsia="宋体"/>
        <w:lang w:eastAsia="zh-CN"/>
      </w:rPr>
    </w:pPr>
    <w:r>
      <w:rPr>
        <w:rFonts w:hint="eastAsia"/>
      </w:rPr>
      <w:t xml:space="preserve">招标文件                                                                    标号：</w:t>
    </w:r>
    <w:r>
      <w:rPr>
        <w:rFonts w:hint="eastAsia"/>
        <w:lang w:eastAsia="zh-CN"/>
      </w:rPr>
      <w:t xml:space="preserve">JSZC-320508-SZZJ-G2025-0062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77"/>
    <w:link w:val="872"/>
    <w:uiPriority w:val="9"/>
    <w:rPr>
      <w:rFonts w:ascii="Arial" w:hAnsi="Arial" w:eastAsia="Arial" w:cs="Arial"/>
      <w:sz w:val="40"/>
      <w:szCs w:val="40"/>
    </w:rPr>
  </w:style>
  <w:style w:type="character" w:styleId="705">
    <w:name w:val="Heading 2 Char"/>
    <w:basedOn w:val="877"/>
    <w:link w:val="873"/>
    <w:uiPriority w:val="9"/>
    <w:rPr>
      <w:rFonts w:ascii="Arial" w:hAnsi="Arial" w:eastAsia="Arial" w:cs="Arial"/>
      <w:sz w:val="34"/>
    </w:rPr>
  </w:style>
  <w:style w:type="character" w:styleId="706">
    <w:name w:val="Heading 3 Char"/>
    <w:basedOn w:val="877"/>
    <w:link w:val="874"/>
    <w:uiPriority w:val="9"/>
    <w:rPr>
      <w:rFonts w:ascii="Arial" w:hAnsi="Arial" w:eastAsia="Arial" w:cs="Arial"/>
      <w:sz w:val="30"/>
      <w:szCs w:val="30"/>
    </w:rPr>
  </w:style>
  <w:style w:type="character" w:styleId="707">
    <w:name w:val="Heading 4 Char"/>
    <w:basedOn w:val="877"/>
    <w:link w:val="875"/>
    <w:uiPriority w:val="9"/>
    <w:rPr>
      <w:rFonts w:ascii="Arial" w:hAnsi="Arial" w:eastAsia="Arial" w:cs="Arial"/>
      <w:b/>
      <w:bCs/>
      <w:sz w:val="26"/>
      <w:szCs w:val="26"/>
    </w:rPr>
  </w:style>
  <w:style w:type="character" w:styleId="708">
    <w:name w:val="Heading 5 Char"/>
    <w:basedOn w:val="877"/>
    <w:link w:val="876"/>
    <w:uiPriority w:val="9"/>
    <w:rPr>
      <w:rFonts w:ascii="Arial" w:hAnsi="Arial" w:eastAsia="Arial" w:cs="Arial"/>
      <w:b/>
      <w:bCs/>
      <w:sz w:val="24"/>
      <w:szCs w:val="24"/>
    </w:rPr>
  </w:style>
  <w:style w:type="paragraph" w:styleId="709">
    <w:name w:val="Heading 6"/>
    <w:basedOn w:val="871"/>
    <w:next w:val="871"/>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7"/>
    <w:link w:val="709"/>
    <w:uiPriority w:val="9"/>
    <w:rPr>
      <w:rFonts w:ascii="Arial" w:hAnsi="Arial" w:eastAsia="Arial" w:cs="Arial"/>
      <w:b/>
      <w:bCs/>
      <w:sz w:val="22"/>
      <w:szCs w:val="22"/>
    </w:rPr>
  </w:style>
  <w:style w:type="paragraph" w:styleId="711">
    <w:name w:val="Heading 7"/>
    <w:basedOn w:val="871"/>
    <w:next w:val="871"/>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7"/>
    <w:link w:val="711"/>
    <w:uiPriority w:val="9"/>
    <w:rPr>
      <w:rFonts w:ascii="Arial" w:hAnsi="Arial" w:eastAsia="Arial" w:cs="Arial"/>
      <w:b/>
      <w:bCs/>
      <w:i/>
      <w:iCs/>
      <w:sz w:val="22"/>
      <w:szCs w:val="22"/>
    </w:rPr>
  </w:style>
  <w:style w:type="paragraph" w:styleId="713">
    <w:name w:val="Heading 8"/>
    <w:basedOn w:val="871"/>
    <w:next w:val="871"/>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7"/>
    <w:link w:val="713"/>
    <w:uiPriority w:val="9"/>
    <w:rPr>
      <w:rFonts w:ascii="Arial" w:hAnsi="Arial" w:eastAsia="Arial" w:cs="Arial"/>
      <w:i/>
      <w:iCs/>
      <w:sz w:val="22"/>
      <w:szCs w:val="22"/>
    </w:rPr>
  </w:style>
  <w:style w:type="paragraph" w:styleId="715">
    <w:name w:val="Heading 9"/>
    <w:basedOn w:val="871"/>
    <w:next w:val="871"/>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7"/>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1"/>
    <w:next w:val="871"/>
    <w:link w:val="719"/>
    <w:uiPriority w:val="10"/>
    <w:qFormat/>
    <w:pPr>
      <w:contextualSpacing/>
      <w:spacing w:before="300" w:after="200"/>
    </w:pPr>
    <w:rPr>
      <w:sz w:val="48"/>
      <w:szCs w:val="48"/>
    </w:rPr>
  </w:style>
  <w:style w:type="character" w:styleId="719">
    <w:name w:val="Title Char"/>
    <w:basedOn w:val="877"/>
    <w:link w:val="718"/>
    <w:uiPriority w:val="10"/>
    <w:rPr>
      <w:sz w:val="48"/>
      <w:szCs w:val="48"/>
    </w:rPr>
  </w:style>
  <w:style w:type="paragraph" w:styleId="720">
    <w:name w:val="Subtitle"/>
    <w:basedOn w:val="871"/>
    <w:next w:val="871"/>
    <w:link w:val="721"/>
    <w:uiPriority w:val="11"/>
    <w:qFormat/>
    <w:pPr>
      <w:spacing w:before="200" w:after="200"/>
    </w:pPr>
    <w:rPr>
      <w:sz w:val="24"/>
      <w:szCs w:val="24"/>
    </w:rPr>
  </w:style>
  <w:style w:type="character" w:styleId="721">
    <w:name w:val="Subtitle Char"/>
    <w:basedOn w:val="877"/>
    <w:link w:val="720"/>
    <w:uiPriority w:val="11"/>
    <w:rPr>
      <w:sz w:val="24"/>
      <w:szCs w:val="24"/>
    </w:rPr>
  </w:style>
  <w:style w:type="paragraph" w:styleId="722">
    <w:name w:val="Quote"/>
    <w:basedOn w:val="871"/>
    <w:next w:val="871"/>
    <w:link w:val="723"/>
    <w:uiPriority w:val="29"/>
    <w:qFormat/>
    <w:pPr>
      <w:ind w:left="720" w:right="720"/>
    </w:pPr>
    <w:rPr>
      <w:i/>
    </w:rPr>
  </w:style>
  <w:style w:type="character" w:styleId="723">
    <w:name w:val="Quote Char"/>
    <w:link w:val="722"/>
    <w:uiPriority w:val="29"/>
    <w:rPr>
      <w:i/>
    </w:rPr>
  </w:style>
  <w:style w:type="paragraph" w:styleId="724">
    <w:name w:val="Intense Quote"/>
    <w:basedOn w:val="871"/>
    <w:next w:val="871"/>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7"/>
    <w:link w:val="893"/>
    <w:uiPriority w:val="99"/>
  </w:style>
  <w:style w:type="character" w:styleId="727">
    <w:name w:val="Footer Char"/>
    <w:basedOn w:val="877"/>
    <w:link w:val="891"/>
    <w:uiPriority w:val="99"/>
  </w:style>
  <w:style w:type="paragraph" w:styleId="728">
    <w:name w:val="Caption"/>
    <w:basedOn w:val="871"/>
    <w:next w:val="871"/>
    <w:uiPriority w:val="35"/>
    <w:semiHidden/>
    <w:unhideWhenUsed/>
    <w:qFormat/>
    <w:pPr>
      <w:spacing w:line="276" w:lineRule="auto"/>
    </w:pPr>
    <w:rPr>
      <w:b/>
      <w:bCs/>
      <w:color w:val="4f81bd" w:themeColor="accent1"/>
      <w:sz w:val="18"/>
      <w:szCs w:val="18"/>
    </w:rPr>
  </w:style>
  <w:style w:type="character" w:styleId="729">
    <w:name w:val="Caption Char"/>
    <w:basedOn w:val="728"/>
    <w:link w:val="891"/>
    <w:uiPriority w:val="99"/>
  </w:style>
  <w:style w:type="table" w:styleId="730">
    <w:name w:val="Table Grid"/>
    <w:basedOn w:val="8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1"/>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7"/>
    <w:uiPriority w:val="99"/>
    <w:unhideWhenUsed/>
    <w:rPr>
      <w:vertAlign w:val="superscript"/>
    </w:rPr>
  </w:style>
  <w:style w:type="paragraph" w:styleId="859">
    <w:name w:val="endnote text"/>
    <w:basedOn w:val="871"/>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7"/>
    <w:uiPriority w:val="99"/>
    <w:semiHidden/>
    <w:unhideWhenUsed/>
    <w:rPr>
      <w:vertAlign w:val="superscript"/>
    </w:r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2">
    <w:name w:val="Heading 1"/>
    <w:basedOn w:val="871"/>
    <w:next w:val="871"/>
    <w:link w:val="903"/>
    <w:uiPriority w:val="99"/>
    <w:qFormat/>
    <w:pPr>
      <w:keepLines/>
      <w:keepNext/>
      <w:spacing w:before="340" w:after="330" w:line="578" w:lineRule="auto"/>
      <w:outlineLvl w:val="0"/>
    </w:pPr>
    <w:rPr>
      <w:b/>
      <w:sz w:val="44"/>
      <w:szCs w:val="20"/>
    </w:rPr>
  </w:style>
  <w:style w:type="paragraph" w:styleId="873">
    <w:name w:val="Heading 2"/>
    <w:basedOn w:val="871"/>
    <w:next w:val="871"/>
    <w:link w:val="904"/>
    <w:uiPriority w:val="99"/>
    <w:qFormat/>
    <w:pPr>
      <w:keepLines/>
      <w:keepNext/>
      <w:spacing w:before="260" w:after="260" w:line="415" w:lineRule="auto"/>
      <w:outlineLvl w:val="1"/>
    </w:pPr>
    <w:rPr>
      <w:rFonts w:ascii="Cambria" w:hAnsi="Cambria"/>
      <w:b/>
      <w:sz w:val="32"/>
      <w:szCs w:val="20"/>
    </w:rPr>
  </w:style>
  <w:style w:type="paragraph" w:styleId="874">
    <w:name w:val="Heading 3"/>
    <w:basedOn w:val="871"/>
    <w:next w:val="871"/>
    <w:link w:val="905"/>
    <w:uiPriority w:val="99"/>
    <w:qFormat/>
    <w:pPr>
      <w:keepLines/>
      <w:keepNext/>
      <w:spacing w:before="260" w:after="260" w:line="415" w:lineRule="auto"/>
      <w:outlineLvl w:val="2"/>
    </w:pPr>
    <w:rPr>
      <w:b/>
      <w:sz w:val="32"/>
      <w:szCs w:val="20"/>
    </w:rPr>
  </w:style>
  <w:style w:type="paragraph" w:styleId="875">
    <w:name w:val="Heading 4"/>
    <w:basedOn w:val="871"/>
    <w:next w:val="871"/>
    <w:link w:val="906"/>
    <w:uiPriority w:val="99"/>
    <w:qFormat/>
    <w:pPr>
      <w:keepLines/>
      <w:keepNext/>
      <w:spacing w:before="280" w:after="290" w:line="377" w:lineRule="auto"/>
      <w:outlineLvl w:val="3"/>
    </w:pPr>
    <w:rPr>
      <w:rFonts w:ascii="Cambria" w:hAnsi="Cambria"/>
      <w:b/>
      <w:sz w:val="28"/>
      <w:szCs w:val="20"/>
    </w:rPr>
  </w:style>
  <w:style w:type="paragraph" w:styleId="876">
    <w:name w:val="Heading 5"/>
    <w:basedOn w:val="871"/>
    <w:next w:val="871"/>
    <w:link w:val="907"/>
    <w:uiPriority w:val="99"/>
    <w:qFormat/>
    <w:pPr>
      <w:keepLines/>
      <w:keepNext/>
      <w:spacing w:before="280" w:after="290" w:line="377" w:lineRule="auto"/>
      <w:outlineLvl w:val="4"/>
    </w:pPr>
    <w:rPr>
      <w:b/>
      <w:sz w:val="28"/>
      <w:szCs w:val="20"/>
    </w:rPr>
  </w:style>
  <w:style w:type="character" w:styleId="877" w:default="1">
    <w:name w:val="Default Paragraph Font"/>
    <w:uiPriority w:val="1"/>
    <w:semiHidden/>
    <w:unhideWhenUsed/>
  </w:style>
  <w:style w:type="table" w:styleId="878" w:default="1">
    <w:name w:val="Normal Table"/>
    <w:uiPriority w:val="99"/>
    <w:semiHidden/>
    <w:unhideWhenUsed/>
    <w:tblPr>
      <w:tblCellMar>
        <w:left w:w="108" w:type="dxa"/>
        <w:top w:w="0" w:type="dxa"/>
        <w:right w:w="108" w:type="dxa"/>
        <w:bottom w:w="0" w:type="dxa"/>
      </w:tblCellMar>
    </w:tblPr>
  </w:style>
  <w:style w:type="paragraph" w:styleId="879">
    <w:name w:val="Normal Indent"/>
    <w:basedOn w:val="871"/>
    <w:next w:val="871"/>
    <w:link w:val="973"/>
    <w:uiPriority w:val="99"/>
    <w:qFormat/>
    <w:pPr>
      <w:ind w:firstLine="420"/>
      <w:jc w:val="left"/>
    </w:pPr>
    <w:rPr>
      <w:sz w:val="22"/>
      <w:szCs w:val="20"/>
    </w:rPr>
  </w:style>
  <w:style w:type="paragraph" w:styleId="880">
    <w:name w:val="Document Map"/>
    <w:basedOn w:val="871"/>
    <w:uiPriority w:val="0"/>
    <w:qFormat/>
    <w:pPr>
      <w:shd w:val="clear" w:color="auto" w:fill="000080"/>
    </w:pPr>
  </w:style>
  <w:style w:type="paragraph" w:styleId="881">
    <w:name w:val="annotation text"/>
    <w:basedOn w:val="871"/>
    <w:link w:val="908"/>
    <w:uiPriority w:val="99"/>
    <w:qFormat/>
    <w:pPr>
      <w:jc w:val="left"/>
    </w:pPr>
    <w:rPr>
      <w:sz w:val="20"/>
      <w:szCs w:val="20"/>
    </w:rPr>
  </w:style>
  <w:style w:type="paragraph" w:styleId="882">
    <w:name w:val="Body Text"/>
    <w:basedOn w:val="871"/>
    <w:next w:val="883"/>
    <w:uiPriority w:val="1"/>
    <w:qFormat/>
    <w:pPr>
      <w:ind w:left="220"/>
    </w:pPr>
    <w:rPr>
      <w:rFonts w:ascii="仿宋" w:hAnsi="仿宋" w:eastAsia="仿宋" w:cs="仿宋"/>
      <w:sz w:val="32"/>
      <w:szCs w:val="32"/>
      <w:lang w:val="zh-CN" w:bidi="zh-CN"/>
    </w:rPr>
  </w:style>
  <w:style w:type="paragraph" w:styleId="883" w:customStyle="1">
    <w:name w:val="一级条标题"/>
    <w:basedOn w:val="884"/>
    <w:next w:val="885"/>
    <w:uiPriority w:val="0"/>
    <w:qFormat/>
    <w:pPr>
      <w:ind w:left="420"/>
      <w:spacing w:line="240" w:lineRule="auto"/>
      <w:outlineLvl w:val="2"/>
    </w:pPr>
  </w:style>
  <w:style w:type="paragraph" w:styleId="884" w:customStyle="1">
    <w:name w:val="章标题"/>
    <w:next w:val="871"/>
    <w:uiPriority w:val="0"/>
    <w:qFormat/>
    <w:pPr>
      <w:jc w:val="both"/>
      <w:spacing w:line="360" w:lineRule="auto"/>
      <w:outlineLvl w:val="1"/>
    </w:pPr>
    <w:rPr>
      <w:rFonts w:ascii="黑体" w:hAnsi="Calibri" w:eastAsia="黑体" w:cs="黑体"/>
      <w:sz w:val="21"/>
      <w:szCs w:val="21"/>
      <w:lang w:val="en-US" w:eastAsia="zh-CN" w:bidi="ar-SA"/>
    </w:rPr>
  </w:style>
  <w:style w:type="paragraph" w:styleId="885" w:customStyle="1">
    <w:name w:val="段"/>
    <w:next w:val="871"/>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886">
    <w:name w:val="Body Text Indent"/>
    <w:basedOn w:val="871"/>
    <w:link w:val="909"/>
    <w:uiPriority w:val="99"/>
    <w:qFormat/>
    <w:pPr>
      <w:ind w:left="570"/>
      <w:spacing w:line="520" w:lineRule="exact"/>
    </w:pPr>
    <w:rPr>
      <w:sz w:val="20"/>
      <w:szCs w:val="20"/>
    </w:rPr>
  </w:style>
  <w:style w:type="paragraph" w:styleId="887">
    <w:name w:val="Plain Text"/>
    <w:basedOn w:val="871"/>
    <w:link w:val="910"/>
    <w:uiPriority w:val="99"/>
    <w:qFormat/>
    <w:rPr>
      <w:rFonts w:ascii="宋体" w:hAnsi="Courier New"/>
      <w:szCs w:val="20"/>
    </w:rPr>
  </w:style>
  <w:style w:type="paragraph" w:styleId="888">
    <w:name w:val="Date"/>
    <w:basedOn w:val="871"/>
    <w:next w:val="871"/>
    <w:link w:val="911"/>
    <w:uiPriority w:val="99"/>
    <w:qFormat/>
    <w:rPr>
      <w:sz w:val="20"/>
      <w:szCs w:val="20"/>
    </w:rPr>
  </w:style>
  <w:style w:type="paragraph" w:styleId="889">
    <w:name w:val="Body Text Indent 2"/>
    <w:basedOn w:val="871"/>
    <w:link w:val="912"/>
    <w:uiPriority w:val="99"/>
    <w:qFormat/>
    <w:pPr>
      <w:ind w:firstLine="208"/>
      <w:spacing w:line="360" w:lineRule="auto"/>
      <w:tabs>
        <w:tab w:val="left" w:pos="0" w:leader="none"/>
      </w:tabs>
    </w:pPr>
    <w:rPr>
      <w:sz w:val="20"/>
      <w:szCs w:val="20"/>
    </w:rPr>
  </w:style>
  <w:style w:type="paragraph" w:styleId="890">
    <w:name w:val="Balloon Text"/>
    <w:basedOn w:val="871"/>
    <w:link w:val="913"/>
    <w:uiPriority w:val="99"/>
    <w:qFormat/>
    <w:rPr>
      <w:sz w:val="2"/>
      <w:szCs w:val="20"/>
    </w:rPr>
  </w:style>
  <w:style w:type="paragraph" w:styleId="891">
    <w:name w:val="Footer"/>
    <w:basedOn w:val="871"/>
    <w:link w:val="914"/>
    <w:uiPriority w:val="99"/>
    <w:qFormat/>
    <w:pPr>
      <w:jc w:val="left"/>
      <w:tabs>
        <w:tab w:val="center" w:pos="4153" w:leader="none"/>
        <w:tab w:val="right" w:pos="8306" w:leader="none"/>
      </w:tabs>
    </w:pPr>
    <w:rPr>
      <w:sz w:val="18"/>
      <w:szCs w:val="20"/>
    </w:rPr>
  </w:style>
  <w:style w:type="paragraph" w:styleId="892">
    <w:name w:val="envelope return"/>
    <w:basedOn w:val="871"/>
    <w:uiPriority w:val="0"/>
    <w:qFormat/>
    <w:rPr>
      <w:rFonts w:ascii="Arial" w:hAnsi="Arial"/>
    </w:rPr>
  </w:style>
  <w:style w:type="paragraph" w:styleId="893">
    <w:name w:val="Header"/>
    <w:basedOn w:val="871"/>
    <w:link w:val="915"/>
    <w:uiPriority w:val="99"/>
    <w:qFormat/>
    <w:pPr>
      <w:jc w:val="center"/>
      <w:tabs>
        <w:tab w:val="center" w:pos="4153" w:leader="none"/>
        <w:tab w:val="right" w:pos="8306" w:leader="none"/>
      </w:tabs>
      <w:pBdr>
        <w:bottom w:val="single" w:color="auto" w:sz="6" w:space="1"/>
      </w:pBdr>
    </w:pPr>
    <w:rPr>
      <w:sz w:val="18"/>
      <w:szCs w:val="20"/>
    </w:rPr>
  </w:style>
  <w:style w:type="paragraph" w:styleId="894">
    <w:name w:val="toc 1"/>
    <w:basedOn w:val="871"/>
    <w:next w:val="871"/>
    <w:uiPriority w:val="99"/>
    <w:qFormat/>
    <w:pPr>
      <w:tabs>
        <w:tab w:val="right" w:pos="9026" w:leader="dot"/>
      </w:tabs>
    </w:pPr>
    <w:rPr>
      <w:rFonts w:ascii="宋体"/>
      <w:sz w:val="24"/>
    </w:rPr>
  </w:style>
  <w:style w:type="paragraph" w:styleId="895">
    <w:name w:val="toc 2"/>
    <w:basedOn w:val="871"/>
    <w:next w:val="871"/>
    <w:uiPriority w:val="99"/>
    <w:semiHidden/>
    <w:qFormat/>
    <w:pPr>
      <w:ind w:left="420"/>
    </w:pPr>
  </w:style>
  <w:style w:type="paragraph" w:styleId="896">
    <w:name w:val="Normal (Web)"/>
    <w:basedOn w:val="871"/>
    <w:uiPriority w:val="99"/>
    <w:qFormat/>
    <w:pPr>
      <w:jc w:val="left"/>
      <w:spacing w:before="100" w:beforeAutospacing="1" w:after="100" w:afterAutospacing="1"/>
      <w:widowControl/>
    </w:pPr>
    <w:rPr>
      <w:rFonts w:ascii="宋体" w:cs="宋体"/>
      <w:sz w:val="24"/>
      <w:szCs w:val="24"/>
    </w:rPr>
  </w:style>
  <w:style w:type="paragraph" w:styleId="897">
    <w:name w:val="annotation subject"/>
    <w:basedOn w:val="881"/>
    <w:next w:val="881"/>
    <w:link w:val="916"/>
    <w:uiPriority w:val="99"/>
    <w:qFormat/>
    <w:rPr>
      <w:b/>
    </w:rPr>
  </w:style>
  <w:style w:type="paragraph" w:styleId="898">
    <w:name w:val="Body Text First Indent 2"/>
    <w:basedOn w:val="886"/>
    <w:uiPriority w:val="0"/>
    <w:qFormat/>
    <w:pPr>
      <w:ind w:left="0" w:firstLine="420"/>
      <w:spacing w:line="480" w:lineRule="exact"/>
    </w:pPr>
    <w:rPr>
      <w:sz w:val="24"/>
    </w:rPr>
  </w:style>
  <w:style w:type="character" w:styleId="899">
    <w:name w:val="FollowedHyperlink"/>
    <w:basedOn w:val="877"/>
    <w:uiPriority w:val="99"/>
    <w:qFormat/>
    <w:rPr>
      <w:rFonts w:cs="Times New Roman"/>
      <w:color w:val="800080"/>
      <w:u w:val="single"/>
    </w:rPr>
  </w:style>
  <w:style w:type="character" w:styleId="900">
    <w:name w:val="Hyperlink"/>
    <w:basedOn w:val="877"/>
    <w:uiPriority w:val="99"/>
    <w:qFormat/>
    <w:rPr>
      <w:rFonts w:cs="Times New Roman"/>
      <w:color w:val="0000ff"/>
      <w:u w:val="single"/>
    </w:rPr>
  </w:style>
  <w:style w:type="character" w:styleId="901">
    <w:name w:val="annotation reference"/>
    <w:basedOn w:val="877"/>
    <w:uiPriority w:val="99"/>
    <w:qFormat/>
    <w:rPr>
      <w:rFonts w:cs="Times New Roman"/>
      <w:sz w:val="21"/>
    </w:rPr>
  </w:style>
  <w:style w:type="paragraph" w:styleId="902" w:customStyle="1">
    <w:name w:val="Default"/>
    <w:uiPriority w:val="99"/>
    <w:qFormat/>
    <w:pPr>
      <w:widowControl w:val="off"/>
    </w:pPr>
    <w:rPr>
      <w:rFonts w:ascii="微软雅黑" w:hAnsi="Calibri" w:eastAsia="微软雅黑" w:cs="微软雅黑"/>
      <w:color w:val="000000"/>
      <w:sz w:val="24"/>
      <w:szCs w:val="24"/>
      <w:lang w:val="en-US" w:eastAsia="zh-CN" w:bidi="ar-SA"/>
    </w:rPr>
  </w:style>
  <w:style w:type="character" w:styleId="903" w:customStyle="1">
    <w:name w:val="标题 1 Char"/>
    <w:basedOn w:val="877"/>
    <w:link w:val="872"/>
    <w:uiPriority w:val="99"/>
    <w:qFormat/>
    <w:rPr>
      <w:rFonts w:ascii="Calibri" w:hAnsi="Calibri"/>
      <w:b/>
      <w:sz w:val="44"/>
    </w:rPr>
  </w:style>
  <w:style w:type="character" w:styleId="904" w:customStyle="1">
    <w:name w:val="标题 2 Char"/>
    <w:basedOn w:val="877"/>
    <w:link w:val="873"/>
    <w:uiPriority w:val="99"/>
    <w:semiHidden/>
    <w:qFormat/>
    <w:rPr>
      <w:rFonts w:ascii="Cambria" w:hAnsi="Cambria" w:eastAsia="宋体"/>
      <w:b/>
      <w:sz w:val="32"/>
    </w:rPr>
  </w:style>
  <w:style w:type="character" w:styleId="905" w:customStyle="1">
    <w:name w:val="标题 3 Char"/>
    <w:basedOn w:val="877"/>
    <w:link w:val="874"/>
    <w:uiPriority w:val="99"/>
    <w:semiHidden/>
    <w:qFormat/>
    <w:rPr>
      <w:rFonts w:ascii="Calibri" w:hAnsi="Calibri"/>
      <w:b/>
      <w:sz w:val="32"/>
    </w:rPr>
  </w:style>
  <w:style w:type="character" w:styleId="906" w:customStyle="1">
    <w:name w:val="标题 4 Char"/>
    <w:basedOn w:val="877"/>
    <w:link w:val="875"/>
    <w:uiPriority w:val="99"/>
    <w:semiHidden/>
    <w:qFormat/>
    <w:rPr>
      <w:rFonts w:ascii="Cambria" w:hAnsi="Cambria" w:eastAsia="宋体"/>
      <w:b/>
      <w:sz w:val="28"/>
    </w:rPr>
  </w:style>
  <w:style w:type="character" w:styleId="907" w:customStyle="1">
    <w:name w:val="标题 5 Char"/>
    <w:basedOn w:val="877"/>
    <w:link w:val="876"/>
    <w:uiPriority w:val="99"/>
    <w:semiHidden/>
    <w:qFormat/>
    <w:rPr>
      <w:rFonts w:ascii="Calibri" w:hAnsi="Calibri"/>
      <w:b/>
      <w:sz w:val="28"/>
    </w:rPr>
  </w:style>
  <w:style w:type="character" w:styleId="908" w:customStyle="1">
    <w:name w:val="批注文字 Char"/>
    <w:basedOn w:val="877"/>
    <w:link w:val="881"/>
    <w:uiPriority w:val="99"/>
    <w:semiHidden/>
    <w:qFormat/>
    <w:rPr>
      <w:rFonts w:ascii="Calibri" w:hAnsi="Calibri"/>
    </w:rPr>
  </w:style>
  <w:style w:type="character" w:styleId="909" w:customStyle="1">
    <w:name w:val="正文文本缩进 Char"/>
    <w:basedOn w:val="877"/>
    <w:link w:val="886"/>
    <w:uiPriority w:val="99"/>
    <w:semiHidden/>
    <w:qFormat/>
    <w:rPr>
      <w:rFonts w:ascii="Calibri" w:hAnsi="Calibri"/>
    </w:rPr>
  </w:style>
  <w:style w:type="character" w:styleId="910" w:customStyle="1">
    <w:name w:val="纯文本 Char"/>
    <w:basedOn w:val="877"/>
    <w:link w:val="887"/>
    <w:uiPriority w:val="99"/>
    <w:semiHidden/>
    <w:qFormat/>
    <w:rPr>
      <w:rFonts w:ascii="宋体" w:hAnsi="Courier New"/>
      <w:sz w:val="21"/>
    </w:rPr>
  </w:style>
  <w:style w:type="character" w:styleId="911" w:customStyle="1">
    <w:name w:val="日期 Char"/>
    <w:basedOn w:val="877"/>
    <w:link w:val="888"/>
    <w:uiPriority w:val="99"/>
    <w:semiHidden/>
    <w:qFormat/>
    <w:rPr>
      <w:rFonts w:ascii="Calibri" w:hAnsi="Calibri"/>
    </w:rPr>
  </w:style>
  <w:style w:type="character" w:styleId="912" w:customStyle="1">
    <w:name w:val="正文文本缩进 2 Char"/>
    <w:basedOn w:val="877"/>
    <w:link w:val="889"/>
    <w:uiPriority w:val="99"/>
    <w:semiHidden/>
    <w:qFormat/>
    <w:rPr>
      <w:rFonts w:ascii="Calibri" w:hAnsi="Calibri"/>
    </w:rPr>
  </w:style>
  <w:style w:type="character" w:styleId="913" w:customStyle="1">
    <w:name w:val="批注框文本 Char"/>
    <w:basedOn w:val="877"/>
    <w:link w:val="890"/>
    <w:uiPriority w:val="99"/>
    <w:semiHidden/>
    <w:qFormat/>
    <w:rPr>
      <w:rFonts w:ascii="Calibri" w:hAnsi="Calibri"/>
      <w:sz w:val="2"/>
    </w:rPr>
  </w:style>
  <w:style w:type="character" w:styleId="914" w:customStyle="1">
    <w:name w:val="页脚 Char"/>
    <w:basedOn w:val="877"/>
    <w:link w:val="891"/>
    <w:uiPriority w:val="99"/>
    <w:semiHidden/>
    <w:qFormat/>
    <w:rPr>
      <w:rFonts w:ascii="Calibri" w:hAnsi="Calibri"/>
      <w:sz w:val="18"/>
    </w:rPr>
  </w:style>
  <w:style w:type="character" w:styleId="915" w:customStyle="1">
    <w:name w:val="页眉 Char"/>
    <w:basedOn w:val="877"/>
    <w:link w:val="893"/>
    <w:uiPriority w:val="99"/>
    <w:semiHidden/>
    <w:qFormat/>
    <w:rPr>
      <w:rFonts w:ascii="Calibri" w:hAnsi="Calibri"/>
      <w:sz w:val="18"/>
    </w:rPr>
  </w:style>
  <w:style w:type="character" w:styleId="916" w:customStyle="1">
    <w:name w:val="批注主题 Char"/>
    <w:basedOn w:val="908"/>
    <w:link w:val="897"/>
    <w:uiPriority w:val="99"/>
    <w:semiHidden/>
    <w:qFormat/>
    <w:rPr>
      <w:rFonts w:ascii="Calibri" w:hAnsi="Calibri"/>
      <w:b/>
    </w:rPr>
  </w:style>
  <w:style w:type="paragraph" w:styleId="917" w:customStyle="1">
    <w:name w:val="Char"/>
    <w:basedOn w:val="871"/>
    <w:uiPriority w:val="99"/>
    <w:qFormat/>
    <w:rPr>
      <w:rFonts w:ascii="Tahoma" w:hAnsi="Tahoma"/>
      <w:sz w:val="24"/>
    </w:rPr>
  </w:style>
  <w:style w:type="paragraph" w:styleId="918" w:customStyle="1">
    <w:name w:val="标题 1GM"/>
    <w:basedOn w:val="872"/>
    <w:uiPriority w:val="99"/>
    <w:qFormat/>
    <w:pPr>
      <w:spacing w:before="0" w:after="0" w:line="360" w:lineRule="auto"/>
      <w:outlineLvl w:val="1"/>
    </w:pPr>
    <w:rPr>
      <w:rFonts w:ascii="楷体" w:eastAsia="楷体"/>
      <w:color w:val="000000"/>
      <w:sz w:val="30"/>
      <w:szCs w:val="30"/>
    </w:rPr>
  </w:style>
  <w:style w:type="paragraph" w:styleId="919" w:customStyle="1">
    <w:name w:val="默认段落字体 Para Char Char Char Char"/>
    <w:basedOn w:val="871"/>
    <w:uiPriority w:val="99"/>
    <w:qFormat/>
    <w:rPr>
      <w:rFonts w:ascii="Times New Roman" w:hAnsi="Times New Roman"/>
      <w:szCs w:val="24"/>
    </w:rPr>
  </w:style>
  <w:style w:type="paragraph" w:styleId="920" w:customStyle="1">
    <w:name w:val="纯文本1"/>
    <w:basedOn w:val="871"/>
    <w:uiPriority w:val="99"/>
    <w:qFormat/>
    <w:rPr>
      <w:rFonts w:ascii="宋体"/>
    </w:rPr>
  </w:style>
  <w:style w:type="paragraph" w:styleId="921" w:customStyle="1">
    <w:name w:val="p17"/>
    <w:uiPriority w:val="99"/>
    <w:qFormat/>
    <w:pPr>
      <w:ind w:firstLine="420"/>
    </w:pPr>
    <w:rPr>
      <w:rFonts w:ascii="宋体" w:hAnsi="Times New Roman" w:eastAsia="宋体" w:cs="宋体"/>
      <w:lang w:val="en-US" w:eastAsia="zh-CN" w:bidi="ar-SA"/>
    </w:rPr>
  </w:style>
  <w:style w:type="paragraph" w:styleId="922" w:customStyle="1">
    <w:name w:val="纯文本2"/>
    <w:basedOn w:val="871"/>
    <w:uiPriority w:val="99"/>
    <w:qFormat/>
    <w:rPr>
      <w:rFonts w:ascii="宋体"/>
      <w:sz w:val="28"/>
    </w:rPr>
  </w:style>
  <w:style w:type="paragraph" w:styleId="923" w:customStyle="1">
    <w:name w:val="p0"/>
    <w:basedOn w:val="871"/>
    <w:uiPriority w:val="99"/>
    <w:qFormat/>
  </w:style>
  <w:style w:type="paragraph" w:styleId="924" w:customStyle="1">
    <w:name w:val="纯文本111"/>
    <w:basedOn w:val="871"/>
    <w:uiPriority w:val="99"/>
    <w:qFormat/>
    <w:rPr>
      <w:rFonts w:ascii="宋体"/>
    </w:rPr>
  </w:style>
  <w:style w:type="paragraph" w:styleId="925" w:customStyle="1">
    <w:name w:val="无间隔1"/>
    <w:uiPriority w:val="99"/>
    <w:qFormat/>
    <w:pPr>
      <w:jc w:val="both"/>
      <w:widowControl w:val="off"/>
    </w:pPr>
    <w:rPr>
      <w:rFonts w:ascii="Calibri" w:hAnsi="Calibri" w:eastAsia="宋体" w:cs="Times New Roman"/>
      <w:sz w:val="21"/>
      <w:szCs w:val="22"/>
      <w:lang w:val="en-US" w:eastAsia="zh-CN" w:bidi="ar-SA"/>
    </w:rPr>
  </w:style>
  <w:style w:type="character" w:styleId="926" w:customStyle="1">
    <w:name w:val="font51"/>
    <w:uiPriority w:val="99"/>
    <w:qFormat/>
    <w:rPr>
      <w:rFonts w:ascii="宋体" w:eastAsia="宋体"/>
      <w:color w:val="000000"/>
      <w:sz w:val="24"/>
      <w:u w:val="none"/>
      <w:vertAlign w:val="superscript"/>
    </w:rPr>
  </w:style>
  <w:style w:type="character" w:styleId="927" w:customStyle="1">
    <w:name w:val="font81"/>
    <w:uiPriority w:val="99"/>
    <w:qFormat/>
    <w:rPr>
      <w:rFonts w:ascii="宋体" w:eastAsia="宋体"/>
      <w:color w:val="000000"/>
      <w:sz w:val="20"/>
      <w:u w:val="none"/>
    </w:rPr>
  </w:style>
  <w:style w:type="character" w:styleId="928" w:customStyle="1">
    <w:name w:val="font31"/>
    <w:uiPriority w:val="99"/>
    <w:qFormat/>
    <w:rPr>
      <w:rFonts w:ascii="宋体" w:eastAsia="宋体"/>
      <w:color w:val="000000"/>
      <w:sz w:val="20"/>
      <w:u w:val="none"/>
    </w:rPr>
  </w:style>
  <w:style w:type="character" w:styleId="929" w:customStyle="1">
    <w:name w:val="font41"/>
    <w:uiPriority w:val="99"/>
    <w:qFormat/>
    <w:rPr>
      <w:rFonts w:ascii="黑体" w:eastAsia="黑体"/>
      <w:color w:val="000000"/>
      <w:sz w:val="24"/>
      <w:u w:val="none"/>
    </w:rPr>
  </w:style>
  <w:style w:type="character" w:styleId="930" w:customStyle="1">
    <w:name w:val="font11"/>
    <w:uiPriority w:val="99"/>
    <w:qFormat/>
    <w:rPr>
      <w:rFonts w:ascii="宋体" w:eastAsia="宋体"/>
      <w:color w:val="000000"/>
      <w:sz w:val="20"/>
      <w:u w:val="none"/>
    </w:rPr>
  </w:style>
  <w:style w:type="character" w:styleId="931" w:customStyle="1">
    <w:name w:val="font91"/>
    <w:uiPriority w:val="99"/>
    <w:qFormat/>
    <w:rPr>
      <w:rFonts w:ascii="宋体" w:eastAsia="宋体"/>
      <w:b/>
      <w:color w:val="000000"/>
      <w:sz w:val="18"/>
      <w:u w:val="none"/>
    </w:rPr>
  </w:style>
  <w:style w:type="character" w:styleId="932" w:customStyle="1">
    <w:name w:val="font61"/>
    <w:uiPriority w:val="99"/>
    <w:qFormat/>
    <w:rPr>
      <w:rFonts w:ascii="宋体" w:eastAsia="宋体"/>
      <w:color w:val="000000"/>
      <w:sz w:val="18"/>
      <w:u w:val="none"/>
    </w:rPr>
  </w:style>
  <w:style w:type="paragraph" w:styleId="933" w:customStyle="1">
    <w:name w:val="纯文本11"/>
    <w:basedOn w:val="871"/>
    <w:uiPriority w:val="99"/>
    <w:qFormat/>
    <w:rPr>
      <w:rFonts w:ascii="宋体"/>
    </w:rPr>
  </w:style>
  <w:style w:type="paragraph" w:styleId="934" w:customStyle="1">
    <w:name w:val="列出段落1"/>
    <w:basedOn w:val="871"/>
    <w:uiPriority w:val="99"/>
    <w:qFormat/>
    <w:pPr>
      <w:ind w:firstLine="200"/>
    </w:pPr>
  </w:style>
  <w:style w:type="paragraph" w:styleId="935" w:customStyle="1">
    <w:name w:val="000左齐平"/>
    <w:basedOn w:val="871"/>
    <w:uiPriority w:val="99"/>
    <w:qFormat/>
    <w:pPr>
      <w:jc w:val="left"/>
    </w:pPr>
    <w:rPr>
      <w:color w:val="000000"/>
    </w:rPr>
  </w:style>
  <w:style w:type="character" w:styleId="936" w:customStyle="1">
    <w:name w:val="font21"/>
    <w:uiPriority w:val="99"/>
    <w:qFormat/>
    <w:rPr>
      <w:rFonts w:ascii="宋体" w:eastAsia="宋体"/>
      <w:color w:val="000000"/>
      <w:sz w:val="18"/>
      <w:u w:val="none"/>
    </w:rPr>
  </w:style>
  <w:style w:type="character" w:styleId="937" w:customStyle="1">
    <w:name w:val="font112"/>
    <w:uiPriority w:val="99"/>
    <w:qFormat/>
    <w:rPr>
      <w:rFonts w:ascii="宋体" w:eastAsia="宋体"/>
      <w:color w:val="000000"/>
      <w:sz w:val="18"/>
      <w:u w:val="none"/>
    </w:rPr>
  </w:style>
  <w:style w:type="paragraph" w:styleId="938" w:customStyle="1">
    <w:name w:val="Char1"/>
    <w:basedOn w:val="871"/>
    <w:uiPriority w:val="99"/>
    <w:qFormat/>
    <w:rPr>
      <w:rFonts w:ascii="Times New Roman" w:hAnsi="Times New Roman"/>
      <w:szCs w:val="24"/>
    </w:rPr>
  </w:style>
  <w:style w:type="paragraph" w:styleId="939" w:customStyle="1">
    <w:name w:val="*正文"/>
    <w:basedOn w:val="871"/>
    <w:uiPriority w:val="99"/>
    <w:qFormat/>
    <w:pPr>
      <w:ind w:firstLine="200"/>
      <w:jc w:val="left"/>
      <w:spacing w:line="360" w:lineRule="auto"/>
    </w:pPr>
    <w:rPr>
      <w:rFonts w:ascii="宋体" w:cs="??_GB2312"/>
      <w:sz w:val="24"/>
      <w:szCs w:val="24"/>
    </w:rPr>
  </w:style>
  <w:style w:type="paragraph" w:styleId="940" w:customStyle="1">
    <w:name w:val="reader-word-layer reader-word-s1-1"/>
    <w:basedOn w:val="871"/>
    <w:uiPriority w:val="99"/>
    <w:qFormat/>
    <w:pPr>
      <w:jc w:val="left"/>
      <w:spacing w:before="100" w:beforeAutospacing="1" w:after="100" w:afterAutospacing="1"/>
      <w:widowControl/>
    </w:pPr>
    <w:rPr>
      <w:rFonts w:ascii="宋体" w:cs="宋体"/>
      <w:sz w:val="24"/>
    </w:rPr>
  </w:style>
  <w:style w:type="character" w:styleId="941" w:customStyle="1">
    <w:name w:val="font01"/>
    <w:uiPriority w:val="99"/>
    <w:qFormat/>
    <w:rPr>
      <w:rFonts w:ascii="宋体" w:eastAsia="宋体"/>
      <w:color w:val="000000"/>
      <w:sz w:val="20"/>
      <w:u w:val="none"/>
    </w:rPr>
  </w:style>
  <w:style w:type="paragraph" w:styleId="942" w:customStyle="1">
    <w:name w:val="列出段落2"/>
    <w:basedOn w:val="871"/>
    <w:uiPriority w:val="99"/>
    <w:qFormat/>
    <w:pPr>
      <w:ind w:firstLine="200"/>
    </w:pPr>
    <w:rPr>
      <w:rFonts w:ascii="Times New Roman" w:hAnsi="Times New Roman"/>
      <w:szCs w:val="24"/>
    </w:rPr>
  </w:style>
  <w:style w:type="paragraph" w:styleId="943" w:customStyle="1">
    <w:name w:val="font5"/>
    <w:basedOn w:val="871"/>
    <w:uiPriority w:val="99"/>
    <w:qFormat/>
    <w:pPr>
      <w:jc w:val="left"/>
      <w:spacing w:before="100" w:beforeAutospacing="1" w:after="100" w:afterAutospacing="1"/>
      <w:widowControl/>
    </w:pPr>
    <w:rPr>
      <w:rFonts w:ascii="宋体" w:cs="宋体"/>
      <w:sz w:val="18"/>
      <w:szCs w:val="18"/>
    </w:rPr>
  </w:style>
  <w:style w:type="paragraph" w:styleId="944" w:customStyle="1">
    <w:name w:val="font6"/>
    <w:basedOn w:val="871"/>
    <w:uiPriority w:val="99"/>
    <w:qFormat/>
    <w:pPr>
      <w:jc w:val="left"/>
      <w:spacing w:before="100" w:beforeAutospacing="1" w:after="100" w:afterAutospacing="1"/>
      <w:widowControl/>
    </w:pPr>
    <w:rPr>
      <w:rFonts w:ascii="宋体" w:cs="宋体"/>
      <w:b/>
      <w:bCs/>
      <w:sz w:val="20"/>
      <w:szCs w:val="20"/>
    </w:rPr>
  </w:style>
  <w:style w:type="paragraph" w:styleId="945" w:customStyle="1">
    <w:name w:val="font7"/>
    <w:basedOn w:val="871"/>
    <w:uiPriority w:val="99"/>
    <w:qFormat/>
    <w:pPr>
      <w:jc w:val="left"/>
      <w:spacing w:before="100" w:beforeAutospacing="1" w:after="100" w:afterAutospacing="1"/>
      <w:widowControl/>
    </w:pPr>
    <w:rPr>
      <w:rFonts w:ascii="宋体" w:cs="宋体"/>
      <w:sz w:val="20"/>
      <w:szCs w:val="20"/>
    </w:rPr>
  </w:style>
  <w:style w:type="paragraph" w:styleId="946" w:customStyle="1">
    <w:name w:val="xl71"/>
    <w:basedOn w:val="871"/>
    <w:uiPriority w:val="99"/>
    <w:qFormat/>
    <w:pPr>
      <w:jc w:val="left"/>
      <w:spacing w:before="100" w:beforeAutospacing="1" w:after="100" w:afterAutospacing="1"/>
      <w:widowControl/>
    </w:pPr>
    <w:rPr>
      <w:rFonts w:ascii="宋体" w:cs="宋体"/>
      <w:sz w:val="24"/>
      <w:szCs w:val="24"/>
    </w:rPr>
  </w:style>
  <w:style w:type="paragraph" w:styleId="947" w:customStyle="1">
    <w:name w:val="xl72"/>
    <w:basedOn w:val="871"/>
    <w:uiPriority w:val="99"/>
    <w:qFormat/>
    <w:pPr>
      <w:jc w:val="center"/>
      <w:spacing w:before="100" w:beforeAutospacing="1" w:after="100" w:afterAutospacing="1"/>
      <w:widowControl/>
    </w:pPr>
    <w:rPr>
      <w:rFonts w:ascii="宋体" w:cs="宋体"/>
      <w:sz w:val="24"/>
      <w:szCs w:val="24"/>
    </w:rPr>
  </w:style>
  <w:style w:type="paragraph" w:styleId="948" w:customStyle="1">
    <w:name w:val="xl73"/>
    <w:basedOn w:val="871"/>
    <w:uiPriority w:val="99"/>
    <w:qFormat/>
    <w:pPr>
      <w:jc w:val="left"/>
      <w:spacing w:before="100" w:beforeAutospacing="1" w:after="100" w:afterAutospacing="1"/>
      <w:widowControl/>
    </w:pPr>
    <w:rPr>
      <w:rFonts w:ascii="宋体" w:cs="宋体"/>
      <w:sz w:val="18"/>
      <w:szCs w:val="18"/>
    </w:rPr>
  </w:style>
  <w:style w:type="paragraph" w:styleId="949" w:customStyle="1">
    <w:name w:val="xl74"/>
    <w:basedOn w:val="871"/>
    <w:uiPriority w:val="99"/>
    <w:qFormat/>
    <w:pPr>
      <w:jc w:val="left"/>
      <w:spacing w:before="100" w:beforeAutospacing="1" w:after="100" w:afterAutospacing="1"/>
      <w:widowControl/>
    </w:pPr>
    <w:rPr>
      <w:rFonts w:ascii="宋体" w:cs="宋体"/>
      <w:b/>
      <w:bCs/>
      <w:sz w:val="20"/>
      <w:szCs w:val="20"/>
    </w:rPr>
  </w:style>
  <w:style w:type="paragraph" w:styleId="950" w:customStyle="1">
    <w:name w:val="xl75"/>
    <w:basedOn w:val="871"/>
    <w:uiPriority w:val="99"/>
    <w:qFormat/>
    <w:pPr>
      <w:jc w:val="left"/>
      <w:spacing w:before="100" w:beforeAutospacing="1" w:after="100" w:afterAutospacing="1"/>
      <w:widowControl/>
    </w:pPr>
    <w:rPr>
      <w:rFonts w:ascii="宋体" w:cs="宋体"/>
      <w:b/>
      <w:bCs/>
      <w:sz w:val="18"/>
      <w:szCs w:val="18"/>
    </w:rPr>
  </w:style>
  <w:style w:type="paragraph" w:styleId="951" w:customStyle="1">
    <w:name w:val="xl76"/>
    <w:basedOn w:val="87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52" w:customStyle="1">
    <w:name w:val="xl77"/>
    <w:basedOn w:val="87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53" w:customStyle="1">
    <w:name w:val="xl78"/>
    <w:basedOn w:val="871"/>
    <w:uiPriority w:val="99"/>
    <w:qFormat/>
    <w:pPr>
      <w:jc w:val="center"/>
      <w:spacing w:before="100" w:beforeAutospacing="1" w:after="100" w:afterAutospacing="1"/>
      <w:widowControl/>
    </w:pPr>
    <w:rPr>
      <w:rFonts w:ascii="宋体" w:cs="宋体"/>
      <w:b/>
      <w:bCs/>
      <w:sz w:val="20"/>
      <w:szCs w:val="20"/>
    </w:rPr>
  </w:style>
  <w:style w:type="paragraph" w:styleId="954" w:customStyle="1">
    <w:name w:val="xl79"/>
    <w:basedOn w:val="871"/>
    <w:uiPriority w:val="99"/>
    <w:qFormat/>
    <w:pPr>
      <w:jc w:val="right"/>
      <w:spacing w:before="100" w:beforeAutospacing="1" w:after="100" w:afterAutospacing="1"/>
      <w:widowControl/>
    </w:pPr>
    <w:rPr>
      <w:rFonts w:ascii="宋体" w:cs="宋体"/>
      <w:sz w:val="18"/>
      <w:szCs w:val="18"/>
    </w:rPr>
  </w:style>
  <w:style w:type="paragraph" w:styleId="955" w:customStyle="1">
    <w:name w:val="xl80"/>
    <w:basedOn w:val="87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0"/>
      <w:szCs w:val="20"/>
    </w:rPr>
  </w:style>
  <w:style w:type="paragraph" w:styleId="956" w:customStyle="1">
    <w:name w:val="xl81"/>
    <w:basedOn w:val="87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0"/>
      <w:szCs w:val="20"/>
    </w:rPr>
  </w:style>
  <w:style w:type="paragraph" w:styleId="957" w:customStyle="1">
    <w:name w:val="xl82"/>
    <w:basedOn w:val="87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cs="宋体"/>
      <w:b/>
      <w:bCs/>
      <w:sz w:val="20"/>
      <w:szCs w:val="20"/>
    </w:rPr>
  </w:style>
  <w:style w:type="paragraph" w:styleId="958" w:customStyle="1">
    <w:name w:val="xl83"/>
    <w:basedOn w:val="871"/>
    <w:uiPriority w:val="99"/>
    <w:qFormat/>
    <w:pPr>
      <w:jc w:val="left"/>
      <w:spacing w:before="100" w:beforeAutospacing="1" w:after="100" w:afterAutospacing="1"/>
      <w:widowControl/>
      <w:pBdr>
        <w:top w:val="single" w:color="auto" w:sz="4" w:space="0"/>
        <w:bottom w:val="single" w:color="auto" w:sz="4" w:space="0"/>
      </w:pBdr>
    </w:pPr>
    <w:rPr>
      <w:rFonts w:ascii="宋体" w:cs="宋体"/>
      <w:b/>
      <w:bCs/>
      <w:sz w:val="20"/>
      <w:szCs w:val="20"/>
    </w:rPr>
  </w:style>
  <w:style w:type="paragraph" w:styleId="959" w:customStyle="1">
    <w:name w:val="xl84"/>
    <w:basedOn w:val="87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b/>
      <w:bCs/>
      <w:sz w:val="20"/>
      <w:szCs w:val="20"/>
    </w:rPr>
  </w:style>
  <w:style w:type="paragraph" w:styleId="960" w:customStyle="1">
    <w:name w:val="xl85"/>
    <w:basedOn w:val="87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18"/>
      <w:szCs w:val="18"/>
    </w:rPr>
  </w:style>
  <w:style w:type="paragraph" w:styleId="961" w:customStyle="1">
    <w:name w:val="xl86"/>
    <w:basedOn w:val="87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62" w:customStyle="1">
    <w:name w:val="xl87"/>
    <w:basedOn w:val="87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63" w:customStyle="1">
    <w:name w:val="xl88"/>
    <w:basedOn w:val="87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18"/>
      <w:szCs w:val="18"/>
    </w:rPr>
  </w:style>
  <w:style w:type="paragraph" w:styleId="964" w:customStyle="1">
    <w:name w:val="xl89"/>
    <w:basedOn w:val="87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cs="宋体"/>
      <w:b/>
      <w:bCs/>
      <w:sz w:val="20"/>
      <w:szCs w:val="20"/>
    </w:rPr>
  </w:style>
  <w:style w:type="paragraph" w:styleId="965" w:customStyle="1">
    <w:name w:val="xl90"/>
    <w:basedOn w:val="871"/>
    <w:uiPriority w:val="99"/>
    <w:qFormat/>
    <w:pPr>
      <w:jc w:val="left"/>
      <w:spacing w:before="100" w:beforeAutospacing="1" w:after="100" w:afterAutospacing="1"/>
      <w:widowControl/>
      <w:pBdr>
        <w:top w:val="single" w:color="auto" w:sz="4" w:space="0"/>
        <w:bottom w:val="single" w:color="auto" w:sz="4" w:space="0"/>
      </w:pBdr>
    </w:pPr>
    <w:rPr>
      <w:rFonts w:ascii="宋体" w:cs="宋体"/>
      <w:b/>
      <w:bCs/>
      <w:sz w:val="20"/>
      <w:szCs w:val="20"/>
    </w:rPr>
  </w:style>
  <w:style w:type="paragraph" w:styleId="966" w:customStyle="1">
    <w:name w:val="xl91"/>
    <w:basedOn w:val="87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b/>
      <w:bCs/>
      <w:sz w:val="20"/>
      <w:szCs w:val="20"/>
    </w:rPr>
  </w:style>
  <w:style w:type="paragraph" w:styleId="967" w:customStyle="1">
    <w:name w:val="xl92"/>
    <w:basedOn w:val="871"/>
    <w:uiPriority w:val="99"/>
    <w:qFormat/>
    <w:pPr>
      <w:jc w:val="center"/>
      <w:spacing w:before="100" w:beforeAutospacing="1" w:after="100" w:afterAutospacing="1"/>
      <w:widowControl/>
      <w:pBdr>
        <w:left w:val="single" w:color="auto" w:sz="4" w:space="0"/>
        <w:right w:val="single" w:color="auto" w:sz="4" w:space="0"/>
      </w:pBdr>
    </w:pPr>
    <w:rPr>
      <w:rFonts w:ascii="宋体" w:cs="宋体"/>
      <w:sz w:val="18"/>
      <w:szCs w:val="18"/>
    </w:rPr>
  </w:style>
  <w:style w:type="paragraph" w:styleId="968" w:customStyle="1">
    <w:name w:val="xl93"/>
    <w:basedOn w:val="87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969" w:customStyle="1">
    <w:name w:val="xl94"/>
    <w:basedOn w:val="871"/>
    <w:uiPriority w:val="99"/>
    <w:qFormat/>
    <w:pPr>
      <w:jc w:val="center"/>
      <w:spacing w:before="100" w:beforeAutospacing="1" w:after="100" w:afterAutospacing="1"/>
      <w:widowControl/>
      <w:pBdr>
        <w:top w:val="single" w:color="auto" w:sz="4" w:space="0"/>
        <w:bottom w:val="single" w:color="auto" w:sz="4" w:space="0"/>
      </w:pBdr>
    </w:pPr>
    <w:rPr>
      <w:rFonts w:ascii="宋体" w:cs="宋体"/>
      <w:sz w:val="20"/>
      <w:szCs w:val="20"/>
    </w:rPr>
  </w:style>
  <w:style w:type="paragraph" w:styleId="970" w:customStyle="1">
    <w:name w:val="1"/>
    <w:basedOn w:val="871"/>
    <w:next w:val="942"/>
    <w:uiPriority w:val="99"/>
    <w:qFormat/>
    <w:pPr>
      <w:ind w:firstLine="200"/>
    </w:pPr>
    <w:rPr>
      <w:rFonts w:ascii="Times New Roman" w:hAnsi="Times New Roman"/>
      <w:szCs w:val="24"/>
    </w:rPr>
  </w:style>
  <w:style w:type="paragraph" w:styleId="971" w:customStyle="1">
    <w:name w:val="纯文本3"/>
    <w:basedOn w:val="871"/>
    <w:uiPriority w:val="99"/>
    <w:qFormat/>
    <w:rPr>
      <w:rFonts w:ascii="宋体" w:hAnsi="Courier New" w:eastAsia="楷体_GB2312"/>
      <w:sz w:val="28"/>
      <w:szCs w:val="20"/>
    </w:rPr>
  </w:style>
  <w:style w:type="paragraph" w:styleId="972">
    <w:name w:val="List Paragraph"/>
    <w:basedOn w:val="871"/>
    <w:uiPriority w:val="99"/>
    <w:qFormat/>
    <w:pPr>
      <w:ind w:firstLine="420"/>
    </w:pPr>
  </w:style>
  <w:style w:type="character" w:styleId="973" w:customStyle="1">
    <w:name w:val="正文缩进 Char"/>
    <w:link w:val="879"/>
    <w:uiPriority w:val="99"/>
    <w:qFormat/>
    <w:rPr>
      <w:rFonts w:ascii="Calibri" w:hAnsi="Calibri"/>
      <w:sz w:val="22"/>
    </w:rPr>
  </w:style>
  <w:style w:type="paragraph" w:styleId="974" w:customStyle="1">
    <w:name w:val="msolistparagraph"/>
    <w:basedOn w:val="871"/>
    <w:uiPriority w:val="99"/>
    <w:qFormat/>
    <w:pPr>
      <w:ind w:firstLine="420"/>
      <w:spacing w:line="360" w:lineRule="auto"/>
    </w:pPr>
    <w:rPr>
      <w:sz w:val="28"/>
      <w:szCs w:val="28"/>
    </w:rPr>
  </w:style>
  <w:style w:type="character" w:styleId="975" w:customStyle="1">
    <w:name w:val="正文缩进字符"/>
    <w:uiPriority w:val="99"/>
    <w:qFormat/>
    <w:rPr>
      <w:rFonts w:eastAsia="楷体_GB2312"/>
      <w:sz w:val="24"/>
      <w:lang w:val="en-US" w:eastAsia="zh-CN"/>
    </w:rPr>
  </w:style>
  <w:style w:type="paragraph" w:styleId="976" w:customStyle="1">
    <w:name w:val="纯文本4"/>
    <w:basedOn w:val="871"/>
    <w:uiPriority w:val="99"/>
    <w:qFormat/>
    <w:rPr>
      <w:rFonts w:ascii="宋体" w:hAnsi="Courier New"/>
    </w:rPr>
  </w:style>
  <w:style w:type="paragraph" w:styleId="977" w:customStyle="1">
    <w:name w:val="正文 A"/>
    <w:uiPriority w:val="0"/>
    <w:qFormat/>
    <w:pPr>
      <w:jc w:val="both"/>
      <w:widowControl w:val="off"/>
    </w:pPr>
    <w:rPr>
      <w:rFonts w:ascii="Times New Roman" w:hAnsi="Times New Roman" w:eastAsia="Arial Unicode MS" w:cs="Arial Unicode MS"/>
      <w:color w:val="000000"/>
      <w:sz w:val="26"/>
      <w:szCs w:val="26"/>
      <w:lang w:val="en-US" w:eastAsia="zh-CN" w:bidi="ar-SA"/>
    </w:rPr>
  </w:style>
  <w:style w:type="paragraph" w:styleId="978" w:customStyle="1">
    <w:name w:val="正文2"/>
    <w:uiPriority w:val="0"/>
    <w:qFormat/>
    <w:pPr>
      <w:jc w:val="both"/>
      <w:widowControl w:val="off"/>
    </w:pPr>
    <w:rPr>
      <w:rFonts w:ascii="Calibri" w:hAnsi="Calibri" w:eastAsia="宋体" w:cs="Times New Roman"/>
      <w:sz w:val="21"/>
      <w:szCs w:val="24"/>
      <w:lang w:val="en-US" w:eastAsia="zh-CN" w:bidi="ar-SA"/>
    </w:rPr>
  </w:style>
  <w:style w:type="paragraph" w:styleId="979" w:customStyle="1">
    <w:name w:val="首行缩进"/>
    <w:basedOn w:val="871"/>
    <w:uiPriority w:val="0"/>
    <w:qFormat/>
    <w:pPr>
      <w:ind w:firstLine="480"/>
      <w:spacing w:line="360" w:lineRule="auto"/>
    </w:pPr>
    <w:rPr>
      <w:sz w:val="24"/>
      <w:lang w:val="zh-CN"/>
    </w:rPr>
  </w:style>
  <w:style w:type="paragraph" w:styleId="980" w:customStyle="1">
    <w:name w:val="纯文本5"/>
    <w:basedOn w:val="871"/>
    <w:uiPriority w:val="0"/>
    <w:qFormat/>
    <w:rPr>
      <w:rFonts w:ascii="宋体" w:hAnsi="Courier New"/>
    </w:rPr>
  </w:style>
  <w:style w:type="paragraph" w:styleId="981" w:customStyle="1">
    <w:name w:val="Table Paragraph"/>
    <w:basedOn w:val="871"/>
    <w:uiPriority w:val="1"/>
    <w:qFormat/>
    <w:pPr>
      <w:jc w:val="left"/>
    </w:pPr>
    <w:rPr>
      <w:rFonts w:ascii="宋体" w:hAnsi="宋体" w:cs="宋体"/>
      <w:sz w:val="22"/>
      <w:lang w:eastAsia="en-US"/>
    </w:rPr>
  </w:style>
  <w:style w:type="paragraph" w:styleId="982" w:customStyle="1">
    <w:name w:val="Plain Text1"/>
    <w:basedOn w:val="871"/>
    <w:uiPriority w:val="99"/>
    <w:qFormat/>
    <w:rPr>
      <w:rFonts w:ascii="宋体" w:hAnsi="宋体"/>
    </w:rPr>
  </w:style>
  <w:style w:type="paragraph" w:styleId="983" w:customStyle="1">
    <w:name w:val="纯文本6"/>
    <w:basedOn w:val="871"/>
    <w:uiPriority w:val="99"/>
    <w:qFormat/>
    <w:rPr>
      <w:rFonts w:ascii="宋体" w:hAnsi="Courier New" w:eastAsia="楷体_GB2312"/>
      <w:sz w:val="26"/>
      <w:szCs w:val="20"/>
    </w:rPr>
  </w:style>
  <w:style w:type="paragraph" w:styleId="984" w:customStyle="1">
    <w:name w:val="+正文"/>
    <w:uiPriority w:val="0"/>
    <w:qFormat/>
    <w:pPr>
      <w:ind w:firstLine="200"/>
      <w:jc w:val="both"/>
      <w:spacing w:line="360" w:lineRule="auto"/>
      <w:widowControl w:val="off"/>
    </w:pPr>
    <w:rPr>
      <w:rFonts w:ascii="Times New Roman" w:hAnsi="Times New Roman" w:eastAsia="宋体" w:cs="Times New Roman"/>
      <w:sz w:val="24"/>
      <w:lang w:val="en-US" w:eastAsia="zh-CN" w:bidi="ar-SA"/>
    </w:rPr>
  </w:style>
  <w:style w:type="character" w:styleId="985" w:customStyle="1">
    <w:name w:val="NormalCharacter"/>
    <w:link w:val="986"/>
    <w:uiPriority w:val="0"/>
    <w:qFormat/>
    <w:rPr>
      <w:sz w:val="20"/>
    </w:rPr>
  </w:style>
  <w:style w:type="paragraph" w:styleId="986" w:customStyle="1">
    <w:name w:val="UserStyle_4"/>
    <w:basedOn w:val="871"/>
    <w:link w:val="985"/>
    <w:uiPriority w:val="99"/>
    <w:qFormat/>
    <w:rPr>
      <w:sz w:val="20"/>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沈鹰</cp:lastModifiedBy>
  <cp:revision>5</cp:revision>
  <dcterms:created xsi:type="dcterms:W3CDTF">2025-07-02T06:31:00Z</dcterms:created>
  <dcterms:modified xsi:type="dcterms:W3CDTF">2025-12-15T07:50:07Z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670A7D4F02224F4883C54F20E21738CA</vt:lpwstr>
  </property>
  <property fmtid="{D5CDD505-2E9C-101B-9397-08002B2CF9AE}" pid="4" name="KSOTemplateDocerSaveRecord">
    <vt:lpwstr>eyJoZGlkIjoiMzE0YWM1MjgxNTZhYmI0YzZhNjhkMmU1MjJjYTQzYjUiLCJ1c2VySWQiOiI0MTgxMDg2MzUifQ==</vt:lpwstr>
  </property>
</Properties>
</file>